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668F0" w14:textId="5279D91A" w:rsidR="00B66996" w:rsidRPr="00A87DF4" w:rsidRDefault="00B66996" w:rsidP="00B66996">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#113-bis</w:t>
      </w:r>
      <w:r w:rsidRPr="00A87DF4">
        <w:rPr>
          <w:rFonts w:ascii="Arial" w:hAnsi="Arial" w:cs="Arial"/>
          <w:b/>
          <w:color w:val="000000"/>
          <w:kern w:val="2"/>
          <w:sz w:val="28"/>
          <w:szCs w:val="28"/>
          <w:lang w:val="en-US"/>
        </w:rPr>
        <w:tab/>
      </w:r>
      <w:r w:rsidR="0020617C">
        <w:rPr>
          <w:rFonts w:ascii="Arial" w:hAnsi="Arial" w:cs="Arial"/>
          <w:b/>
          <w:color w:val="000000"/>
          <w:kern w:val="2"/>
          <w:sz w:val="24"/>
          <w:szCs w:val="24"/>
          <w:lang w:val="en-US"/>
        </w:rPr>
        <w:t>R2-2103182</w:t>
      </w:r>
    </w:p>
    <w:p w14:paraId="1804CFE2" w14:textId="00FD77C3" w:rsidR="00B66996" w:rsidRDefault="00B66996" w:rsidP="00D17D85">
      <w:pPr>
        <w:tabs>
          <w:tab w:val="left" w:pos="1979"/>
        </w:tabs>
        <w:spacing w:after="180" w:line="240" w:lineRule="auto"/>
        <w:jc w:val="left"/>
        <w:rPr>
          <w:rFonts w:ascii="Arial" w:eastAsia="MS Mincho" w:hAnsi="Arial" w:cs="Arial"/>
          <w:b/>
          <w:bCs/>
          <w:sz w:val="28"/>
          <w:szCs w:val="28"/>
          <w:lang w:eastAsia="ja-JP"/>
        </w:rPr>
      </w:pPr>
      <w:proofErr w:type="gramStart"/>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proofErr w:type="gramEnd"/>
      <w:r>
        <w:rPr>
          <w:rFonts w:ascii="Arial" w:eastAsia="MS Mincho" w:hAnsi="Arial" w:cs="Arial"/>
          <w:b/>
          <w:bCs/>
          <w:sz w:val="28"/>
          <w:szCs w:val="28"/>
          <w:lang w:eastAsia="ja-JP"/>
        </w:rPr>
        <w:t xml:space="preserve">, </w:t>
      </w:r>
      <w:r w:rsidRPr="008F0C5A">
        <w:rPr>
          <w:rFonts w:ascii="Arial" w:eastAsia="MS Mincho" w:hAnsi="Arial" w:cs="Arial"/>
          <w:b/>
          <w:bCs/>
          <w:sz w:val="28"/>
          <w:szCs w:val="28"/>
          <w:lang w:eastAsia="ja-JP"/>
        </w:rPr>
        <w:t>Apr</w:t>
      </w:r>
      <w:r w:rsidR="009E7D8D">
        <w:rPr>
          <w:rFonts w:asciiTheme="minorEastAsia" w:eastAsiaTheme="minorEastAsia" w:hAnsiTheme="minorEastAsia" w:cs="Arial"/>
          <w:b/>
          <w:bCs/>
          <w:sz w:val="28"/>
          <w:szCs w:val="28"/>
        </w:rPr>
        <w:t xml:space="preserve"> </w:t>
      </w:r>
      <w:r>
        <w:rPr>
          <w:rFonts w:ascii="Arial" w:eastAsia="MS Mincho" w:hAnsi="Arial" w:cs="Arial"/>
          <w:b/>
          <w:bCs/>
          <w:sz w:val="28"/>
          <w:szCs w:val="28"/>
          <w:lang w:eastAsia="ja-JP"/>
        </w:rPr>
        <w:t>12 - 20</w:t>
      </w:r>
      <w:r w:rsidRPr="00C51BBE">
        <w:rPr>
          <w:rFonts w:ascii="Arial" w:eastAsia="MS Mincho" w:hAnsi="Arial" w:cs="Arial"/>
          <w:b/>
          <w:bCs/>
          <w:sz w:val="28"/>
          <w:szCs w:val="28"/>
          <w:lang w:eastAsia="ja-JP"/>
        </w:rPr>
        <w:t>, 2021</w:t>
      </w:r>
    </w:p>
    <w:p w14:paraId="0D57A029" w14:textId="6A31EAAD" w:rsidR="00ED5A54" w:rsidRPr="00B66996" w:rsidRDefault="007E2DF3" w:rsidP="00D17D85">
      <w:pPr>
        <w:tabs>
          <w:tab w:val="left" w:pos="1979"/>
        </w:tabs>
        <w:spacing w:after="180" w:line="240" w:lineRule="auto"/>
        <w:jc w:val="left"/>
        <w:rPr>
          <w:rFonts w:ascii="Arial" w:eastAsia="MS Mincho" w:hAnsi="Arial" w:cs="Arial"/>
          <w:b/>
          <w:bCs/>
          <w:sz w:val="28"/>
          <w:szCs w:val="28"/>
          <w:lang w:eastAsia="ja-JP"/>
        </w:rPr>
      </w:pPr>
      <w:r w:rsidRPr="008912F0">
        <w:rPr>
          <w:rFonts w:ascii="Arial" w:hAnsi="Arial" w:cs="Arial"/>
          <w:b/>
          <w:bCs/>
          <w:sz w:val="28"/>
          <w:lang w:val="en-US"/>
        </w:rPr>
        <w:t xml:space="preserve"> </w:t>
      </w:r>
      <w:r w:rsidRPr="008912F0">
        <w:rPr>
          <w:rFonts w:ascii="Arial" w:hAnsi="Arial" w:cs="Arial"/>
          <w:b/>
          <w:bCs/>
          <w:sz w:val="28"/>
          <w:lang w:val="en-US"/>
        </w:rPr>
        <w:tab/>
      </w:r>
      <w:r w:rsidRPr="008912F0">
        <w:rPr>
          <w:rFonts w:ascii="Arial" w:hAnsi="Arial" w:cs="Arial"/>
          <w:b/>
          <w:bCs/>
          <w:sz w:val="28"/>
          <w:lang w:val="en-US"/>
        </w:rPr>
        <w:tab/>
      </w:r>
      <w:r w:rsidR="0025616B" w:rsidRPr="008912F0">
        <w:rPr>
          <w:rFonts w:ascii="Arial" w:hAnsi="Arial" w:cs="Arial"/>
          <w:b/>
          <w:bCs/>
          <w:color w:val="FF0000"/>
          <w:sz w:val="24"/>
        </w:rPr>
        <w:t xml:space="preserve"> </w:t>
      </w:r>
      <w:r w:rsidR="00B81FC3" w:rsidRPr="008912F0">
        <w:rPr>
          <w:rFonts w:ascii="Arial" w:hAnsi="Arial" w:cs="Arial"/>
          <w:b/>
          <w:bCs/>
          <w:color w:val="FF0000"/>
          <w:sz w:val="24"/>
        </w:rPr>
        <w:tab/>
      </w:r>
      <w:r w:rsidR="00B81FC3" w:rsidRPr="008912F0">
        <w:rPr>
          <w:rFonts w:ascii="Arial" w:hAnsi="Arial" w:cs="Arial"/>
          <w:b/>
          <w:bCs/>
          <w:color w:val="FF0000"/>
          <w:sz w:val="24"/>
        </w:rPr>
        <w:tab/>
      </w:r>
    </w:p>
    <w:p w14:paraId="75A80D7F" w14:textId="77777777"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Agenda Item:</w:t>
      </w:r>
      <w:r w:rsidRPr="00A87DF4">
        <w:rPr>
          <w:rFonts w:ascii="Arial" w:hAnsi="Arial" w:cs="Arial"/>
          <w:b/>
          <w:bCs/>
          <w:sz w:val="24"/>
          <w:szCs w:val="24"/>
          <w:lang w:val="en-US" w:eastAsia="en-US"/>
        </w:rPr>
        <w:tab/>
      </w:r>
      <w:r w:rsidR="00E26C2A" w:rsidRPr="00A87DF4">
        <w:rPr>
          <w:rFonts w:ascii="Arial" w:hAnsi="Arial" w:cs="Arial"/>
          <w:b/>
          <w:bCs/>
          <w:sz w:val="24"/>
          <w:szCs w:val="24"/>
          <w:lang w:val="en-US" w:eastAsia="en-US"/>
        </w:rPr>
        <w:t>8.10.3.3</w:t>
      </w:r>
    </w:p>
    <w:p w14:paraId="4B1AC1B7" w14:textId="6AEF9AB5"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 xml:space="preserve">Source: </w:t>
      </w:r>
      <w:r w:rsidRPr="00A87DF4">
        <w:rPr>
          <w:rFonts w:ascii="Arial" w:hAnsi="Arial" w:cs="Arial"/>
          <w:b/>
          <w:bCs/>
          <w:sz w:val="24"/>
          <w:szCs w:val="24"/>
          <w:lang w:val="en-US" w:eastAsia="en-US"/>
        </w:rPr>
        <w:tab/>
      </w:r>
      <w:r w:rsidR="00F92FFE" w:rsidRPr="00F92FFE">
        <w:rPr>
          <w:rFonts w:ascii="Arial" w:hAnsi="Arial" w:cs="Arial"/>
          <w:b/>
          <w:bCs/>
          <w:sz w:val="24"/>
          <w:szCs w:val="24"/>
          <w:lang w:val="en-US" w:eastAsia="en-US"/>
        </w:rPr>
        <w:t xml:space="preserve">Xiaomi </w:t>
      </w:r>
    </w:p>
    <w:p w14:paraId="5C8657A1" w14:textId="14A888C9" w:rsidR="00656311" w:rsidRPr="00A87DF4" w:rsidRDefault="00656311" w:rsidP="00FE7696">
      <w:pPr>
        <w:tabs>
          <w:tab w:val="left" w:pos="1979"/>
        </w:tabs>
        <w:spacing w:after="180" w:line="240" w:lineRule="auto"/>
        <w:ind w:left="1979" w:hanging="1979"/>
        <w:rPr>
          <w:rFonts w:ascii="Arial" w:hAnsi="Arial" w:cs="Arial"/>
          <w:b/>
          <w:bCs/>
          <w:sz w:val="24"/>
          <w:szCs w:val="24"/>
          <w:lang w:val="en-US"/>
        </w:rPr>
      </w:pPr>
      <w:r w:rsidRPr="00A87DF4">
        <w:rPr>
          <w:rFonts w:ascii="Arial" w:hAnsi="Arial" w:cs="Arial"/>
          <w:b/>
          <w:bCs/>
          <w:sz w:val="24"/>
          <w:szCs w:val="24"/>
          <w:lang w:val="en-US" w:eastAsia="en-US"/>
        </w:rPr>
        <w:t xml:space="preserve">Title:  </w:t>
      </w:r>
      <w:r w:rsidRPr="00A87DF4">
        <w:rPr>
          <w:rFonts w:ascii="Arial" w:hAnsi="Arial" w:cs="Arial"/>
          <w:b/>
          <w:bCs/>
          <w:sz w:val="24"/>
          <w:szCs w:val="24"/>
          <w:lang w:val="en-US" w:eastAsia="en-US"/>
        </w:rPr>
        <w:tab/>
      </w:r>
      <w:r w:rsidR="00E57FF2" w:rsidRPr="00A87DF4">
        <w:rPr>
          <w:rFonts w:ascii="Arial" w:hAnsi="Arial" w:cs="Arial"/>
          <w:b/>
          <w:bCs/>
          <w:sz w:val="24"/>
          <w:szCs w:val="24"/>
          <w:lang w:val="en-US" w:eastAsia="en-US"/>
        </w:rPr>
        <w:t xml:space="preserve">Discussion on </w:t>
      </w:r>
      <w:r w:rsidR="00DD7286">
        <w:rPr>
          <w:rFonts w:ascii="Arial" w:hAnsi="Arial" w:cs="Arial" w:hint="eastAsia"/>
          <w:b/>
          <w:bCs/>
          <w:sz w:val="24"/>
          <w:szCs w:val="24"/>
          <w:lang w:val="en-US"/>
        </w:rPr>
        <w:t>measurement</w:t>
      </w:r>
      <w:r w:rsidR="007127CB" w:rsidRPr="00A87DF4">
        <w:rPr>
          <w:rFonts w:ascii="Arial" w:hAnsi="Arial" w:cs="Arial"/>
          <w:b/>
          <w:bCs/>
          <w:sz w:val="24"/>
          <w:szCs w:val="24"/>
          <w:lang w:val="en-US" w:eastAsia="en-US"/>
        </w:rPr>
        <w:t xml:space="preserve"> </w:t>
      </w:r>
      <w:r w:rsidR="000457EF" w:rsidRPr="00A87DF4">
        <w:rPr>
          <w:rFonts w:ascii="Arial" w:hAnsi="Arial" w:cs="Arial"/>
          <w:b/>
          <w:bCs/>
          <w:sz w:val="24"/>
          <w:szCs w:val="24"/>
          <w:lang w:val="en-US"/>
        </w:rPr>
        <w:t>in NTN</w:t>
      </w:r>
    </w:p>
    <w:p w14:paraId="28DCA6A3" w14:textId="77777777" w:rsidR="00656311" w:rsidRPr="00A87DF4" w:rsidRDefault="00656311" w:rsidP="00656311">
      <w:pPr>
        <w:tabs>
          <w:tab w:val="left" w:pos="1979"/>
        </w:tabs>
        <w:spacing w:after="180" w:line="240" w:lineRule="auto"/>
        <w:rPr>
          <w:rFonts w:ascii="Arial" w:hAnsi="Arial" w:cs="Arial"/>
          <w:b/>
          <w:bCs/>
          <w:sz w:val="24"/>
          <w:szCs w:val="24"/>
          <w:lang w:val="en-US" w:eastAsia="en-US"/>
        </w:rPr>
      </w:pPr>
      <w:r w:rsidRPr="00A87DF4">
        <w:rPr>
          <w:rFonts w:ascii="Arial" w:hAnsi="Arial" w:cs="Arial"/>
          <w:b/>
          <w:bCs/>
          <w:sz w:val="24"/>
          <w:szCs w:val="24"/>
          <w:lang w:val="en-US" w:eastAsia="en-US"/>
        </w:rPr>
        <w:t>Document for:</w:t>
      </w:r>
      <w:r w:rsidRPr="00A87DF4">
        <w:rPr>
          <w:rFonts w:ascii="Arial" w:hAnsi="Arial" w:cs="Arial"/>
          <w:b/>
          <w:bCs/>
          <w:sz w:val="24"/>
          <w:szCs w:val="24"/>
          <w:lang w:val="en-US" w:eastAsia="en-US"/>
        </w:rPr>
        <w:tab/>
        <w:t>Discussion and Decision</w:t>
      </w:r>
    </w:p>
    <w:p w14:paraId="33F18B50" w14:textId="77777777" w:rsidR="00703220" w:rsidRPr="008912F0" w:rsidRDefault="00703220" w:rsidP="00703220">
      <w:pPr>
        <w:pStyle w:val="1"/>
        <w:rPr>
          <w:sz w:val="40"/>
        </w:rPr>
      </w:pPr>
      <w:bookmarkStart w:id="0" w:name="_Ref165266342"/>
      <w:r w:rsidRPr="008912F0">
        <w:rPr>
          <w:sz w:val="40"/>
        </w:rPr>
        <w:t>Introduction</w:t>
      </w:r>
      <w:bookmarkEnd w:id="0"/>
    </w:p>
    <w:p w14:paraId="547A5C92" w14:textId="5F5E8FC3" w:rsidR="006469D9" w:rsidRDefault="00DE1F0B" w:rsidP="006469D9">
      <w:pPr>
        <w:rPr>
          <w:szCs w:val="22"/>
        </w:rPr>
      </w:pPr>
      <w:r>
        <w:rPr>
          <w:szCs w:val="22"/>
        </w:rPr>
        <w:t>In RAN2#112</w:t>
      </w:r>
      <w:r w:rsidR="00F718E0">
        <w:rPr>
          <w:szCs w:val="22"/>
        </w:rPr>
        <w:t>-e meeting</w:t>
      </w:r>
      <w:r w:rsidR="006469D9" w:rsidRPr="00DA25CB">
        <w:rPr>
          <w:rFonts w:hint="eastAsia"/>
          <w:szCs w:val="22"/>
        </w:rPr>
        <w:t>,</w:t>
      </w:r>
      <w:r w:rsidR="006469D9" w:rsidRPr="00DA25CB">
        <w:rPr>
          <w:szCs w:val="22"/>
        </w:rPr>
        <w:t xml:space="preserve"> the following agreements</w:t>
      </w:r>
      <w:r w:rsidR="00F718E0">
        <w:rPr>
          <w:szCs w:val="22"/>
        </w:rPr>
        <w:t xml:space="preserve"> </w:t>
      </w:r>
      <w:r w:rsidR="00F718E0">
        <w:rPr>
          <w:rFonts w:hint="eastAsia"/>
          <w:szCs w:val="22"/>
        </w:rPr>
        <w:t>on</w:t>
      </w:r>
      <w:r w:rsidR="00F718E0">
        <w:rPr>
          <w:szCs w:val="22"/>
        </w:rPr>
        <w:t xml:space="preserve"> </w:t>
      </w:r>
      <w:r w:rsidR="00F718E0">
        <w:rPr>
          <w:rFonts w:hint="eastAsia"/>
          <w:szCs w:val="22"/>
        </w:rPr>
        <w:t>measurement</w:t>
      </w:r>
      <w:r w:rsidR="006469D9" w:rsidRPr="00DA25CB">
        <w:rPr>
          <w:szCs w:val="22"/>
        </w:rPr>
        <w:t xml:space="preserve"> were reached</w:t>
      </w:r>
      <w:r w:rsidR="00296F04">
        <w:rPr>
          <w:szCs w:val="22"/>
        </w:rPr>
        <w:t xml:space="preserve"> </w:t>
      </w:r>
      <w:r w:rsidR="00A87DF4" w:rsidRPr="007D0291">
        <w:rPr>
          <w:rFonts w:hint="eastAsia"/>
          <w:szCs w:val="22"/>
        </w:rPr>
        <w:t>[</w:t>
      </w:r>
      <w:r w:rsidR="00A87DF4" w:rsidRPr="007D0291">
        <w:rPr>
          <w:szCs w:val="22"/>
        </w:rPr>
        <w:t>1]</w:t>
      </w:r>
      <w:r w:rsidR="006469D9" w:rsidRPr="007D0291">
        <w:rPr>
          <w:szCs w:val="22"/>
        </w:rPr>
        <w:t>:</w:t>
      </w:r>
    </w:p>
    <w:p w14:paraId="753E2514" w14:textId="317D8D57" w:rsidR="004908D6" w:rsidRPr="008562A2" w:rsidRDefault="004908D6" w:rsidP="004908D6">
      <w:pPr>
        <w:pStyle w:val="Doc-comment"/>
        <w:pBdr>
          <w:top w:val="single" w:sz="4" w:space="1" w:color="auto"/>
          <w:left w:val="single" w:sz="4" w:space="4" w:color="auto"/>
          <w:bottom w:val="single" w:sz="4" w:space="1" w:color="auto"/>
          <w:right w:val="single" w:sz="4" w:space="4" w:color="auto"/>
        </w:pBdr>
        <w:rPr>
          <w:i w:val="0"/>
        </w:rPr>
      </w:pPr>
      <w:r w:rsidRPr="008562A2">
        <w:rPr>
          <w:i w:val="0"/>
        </w:rPr>
        <w:t>Agreements</w:t>
      </w:r>
      <w:r w:rsidR="00095093">
        <w:rPr>
          <w:i w:val="0"/>
        </w:rPr>
        <w:t>_</w:t>
      </w:r>
      <w:r w:rsidR="009F3E1B">
        <w:rPr>
          <w:i w:val="0"/>
        </w:rPr>
        <w:t>RAN2#112-e</w:t>
      </w:r>
      <w:r w:rsidR="00095093">
        <w:rPr>
          <w:i w:val="0"/>
        </w:rPr>
        <w:t>:</w:t>
      </w:r>
    </w:p>
    <w:p w14:paraId="7BD2162F" w14:textId="5B916966" w:rsidR="004908D6" w:rsidRPr="00596886" w:rsidRDefault="004908D6" w:rsidP="00596886">
      <w:pPr>
        <w:pStyle w:val="Doc-text2"/>
        <w:numPr>
          <w:ilvl w:val="0"/>
          <w:numId w:val="9"/>
        </w:numPr>
        <w:pBdr>
          <w:top w:val="single" w:sz="4" w:space="1" w:color="auto"/>
          <w:left w:val="single" w:sz="4" w:space="4" w:color="auto"/>
          <w:bottom w:val="single" w:sz="4" w:space="1" w:color="auto"/>
          <w:right w:val="single" w:sz="4" w:space="4" w:color="auto"/>
        </w:pBdr>
      </w:pPr>
      <w:r w:rsidRPr="008562A2">
        <w:t>The existing measurement framework (e.g. measurement configuration, execution and reporting) is the baseline, and all the existing measurement criteria and event can be used in NTN. Support for new measurement is not excluded.</w:t>
      </w:r>
    </w:p>
    <w:p w14:paraId="62B3E806" w14:textId="77777777" w:rsidR="009F3E1B" w:rsidRDefault="004908D6" w:rsidP="00596886">
      <w:pPr>
        <w:pStyle w:val="Doc-text2"/>
        <w:numPr>
          <w:ilvl w:val="0"/>
          <w:numId w:val="9"/>
        </w:numPr>
        <w:pBdr>
          <w:top w:val="single" w:sz="4" w:space="1" w:color="auto"/>
          <w:left w:val="single" w:sz="4" w:space="4" w:color="auto"/>
          <w:bottom w:val="single" w:sz="4" w:space="1" w:color="auto"/>
          <w:right w:val="single" w:sz="4" w:space="4" w:color="auto"/>
        </w:pBdr>
      </w:pPr>
      <w:r w:rsidRPr="008562A2">
        <w:t>Legacy SSB periods (as in TN) shall be supported in NTN</w:t>
      </w:r>
      <w:r>
        <w:t>.</w:t>
      </w:r>
      <w:r w:rsidR="00596886" w:rsidRPr="00596886">
        <w:t xml:space="preserve"> </w:t>
      </w:r>
    </w:p>
    <w:p w14:paraId="3499CF96" w14:textId="77777777" w:rsidR="00596886" w:rsidRPr="00296F04" w:rsidRDefault="00596886" w:rsidP="00596886">
      <w:pPr>
        <w:pStyle w:val="Doc-text2"/>
        <w:numPr>
          <w:ilvl w:val="0"/>
          <w:numId w:val="9"/>
        </w:numPr>
        <w:pBdr>
          <w:top w:val="single" w:sz="4" w:space="1" w:color="auto"/>
          <w:left w:val="single" w:sz="4" w:space="4" w:color="auto"/>
          <w:bottom w:val="single" w:sz="4" w:space="1" w:color="auto"/>
          <w:right w:val="single" w:sz="4" w:space="4" w:color="auto"/>
        </w:pBdr>
      </w:pPr>
      <w:r w:rsidRPr="008562A2">
        <w:t xml:space="preserve">The Location-based measurement event, in combination with the existing measurement event in NR, should be supported in NTN for both moving cell and fixed cell scenarios. </w:t>
      </w:r>
      <w:r w:rsidRPr="00296F04">
        <w:t>FFS on how to configure the location based measurement event</w:t>
      </w:r>
      <w:r w:rsidRPr="00B53CDD">
        <w:t>.</w:t>
      </w:r>
    </w:p>
    <w:p w14:paraId="7D4047BC" w14:textId="77777777" w:rsidR="009F3E1B" w:rsidRPr="00296F04" w:rsidRDefault="009F3E1B" w:rsidP="009F3E1B">
      <w:pPr>
        <w:pStyle w:val="Doc-text2"/>
        <w:numPr>
          <w:ilvl w:val="0"/>
          <w:numId w:val="9"/>
        </w:numPr>
        <w:pBdr>
          <w:top w:val="single" w:sz="4" w:space="1" w:color="auto"/>
          <w:left w:val="single" w:sz="4" w:space="4" w:color="auto"/>
          <w:bottom w:val="single" w:sz="4" w:space="1" w:color="auto"/>
          <w:right w:val="single" w:sz="4" w:space="4" w:color="auto"/>
        </w:pBdr>
      </w:pPr>
      <w:r w:rsidRPr="00296F04">
        <w:t>RAN2 understanding that UE shall not be forced to detect the SSB burst outside the corresponding configured SMTC window in NTN, just like the principle in TN.</w:t>
      </w:r>
    </w:p>
    <w:p w14:paraId="55A048A7" w14:textId="77777777" w:rsidR="009F3E1B" w:rsidRPr="008562A2" w:rsidRDefault="009F3E1B" w:rsidP="009F3E1B">
      <w:pPr>
        <w:pStyle w:val="Doc-text2"/>
        <w:numPr>
          <w:ilvl w:val="0"/>
          <w:numId w:val="9"/>
        </w:numPr>
        <w:pBdr>
          <w:top w:val="single" w:sz="4" w:space="1" w:color="auto"/>
          <w:left w:val="single" w:sz="4" w:space="4" w:color="auto"/>
          <w:bottom w:val="single" w:sz="4" w:space="1" w:color="auto"/>
          <w:right w:val="single" w:sz="4" w:space="4" w:color="auto"/>
        </w:pBdr>
      </w:pPr>
      <w:r w:rsidRPr="008562A2">
        <w:t xml:space="preserve">SMTC and gap configuration in NTN are configured based on the timing of </w:t>
      </w:r>
      <w:proofErr w:type="spellStart"/>
      <w:r w:rsidRPr="008562A2">
        <w:t>PCell</w:t>
      </w:r>
      <w:proofErr w:type="spellEnd"/>
    </w:p>
    <w:p w14:paraId="0110103B" w14:textId="77777777" w:rsidR="009F3E1B" w:rsidRPr="008562A2" w:rsidRDefault="009F3E1B" w:rsidP="009F3E1B">
      <w:pPr>
        <w:pStyle w:val="Doc-text2"/>
        <w:numPr>
          <w:ilvl w:val="0"/>
          <w:numId w:val="9"/>
        </w:numPr>
        <w:pBdr>
          <w:top w:val="single" w:sz="4" w:space="1" w:color="auto"/>
          <w:left w:val="single" w:sz="4" w:space="4" w:color="auto"/>
          <w:bottom w:val="single" w:sz="4" w:space="1" w:color="auto"/>
          <w:right w:val="single" w:sz="4" w:space="4" w:color="auto"/>
        </w:pBdr>
      </w:pPr>
      <w:r w:rsidRPr="008562A2">
        <w:t>RAN2 can first identify the scenarios and discuss how serious the impact is before addressing any enhancement for SMTC configuration in NTN.</w:t>
      </w:r>
    </w:p>
    <w:p w14:paraId="604B4794" w14:textId="77777777" w:rsidR="009F3E1B" w:rsidRPr="00296F04" w:rsidRDefault="009F3E1B" w:rsidP="009F3E1B">
      <w:pPr>
        <w:pStyle w:val="Doc-text2"/>
        <w:numPr>
          <w:ilvl w:val="0"/>
          <w:numId w:val="9"/>
        </w:numPr>
        <w:pBdr>
          <w:top w:val="single" w:sz="4" w:space="1" w:color="auto"/>
          <w:left w:val="single" w:sz="4" w:space="4" w:color="auto"/>
          <w:bottom w:val="single" w:sz="4" w:space="1" w:color="auto"/>
          <w:right w:val="single" w:sz="4" w:space="4" w:color="auto"/>
        </w:pBdr>
      </w:pPr>
      <w:r w:rsidRPr="00296F04">
        <w:t>RAN2 can’t assume that the network will always have UE accurate location info for SMTC window configuration in NTN</w:t>
      </w:r>
    </w:p>
    <w:p w14:paraId="45A9F3FF" w14:textId="6F5712D7" w:rsidR="004908D6" w:rsidRPr="009F3E1B" w:rsidRDefault="009F3E1B" w:rsidP="004908D6">
      <w:pPr>
        <w:pStyle w:val="Doc-text2"/>
        <w:numPr>
          <w:ilvl w:val="0"/>
          <w:numId w:val="9"/>
        </w:numPr>
        <w:pBdr>
          <w:top w:val="single" w:sz="4" w:space="1" w:color="auto"/>
          <w:left w:val="single" w:sz="4" w:space="4" w:color="auto"/>
          <w:bottom w:val="single" w:sz="4" w:space="1" w:color="auto"/>
          <w:right w:val="single" w:sz="4" w:space="4" w:color="auto"/>
        </w:pBdr>
      </w:pPr>
      <w:r w:rsidRPr="008562A2">
        <w:t>UE along with the network in NTN should also have the same understanding of the timing, including the timing for measurement gap, to avoid any un-synchronized scheduling between UE and the network, just like the way we have in TN</w:t>
      </w:r>
    </w:p>
    <w:p w14:paraId="37EDA612" w14:textId="77777777" w:rsidR="0011687F" w:rsidRDefault="0011687F" w:rsidP="00B9594F">
      <w:pPr>
        <w:rPr>
          <w:szCs w:val="22"/>
        </w:rPr>
      </w:pPr>
    </w:p>
    <w:p w14:paraId="79F252CE" w14:textId="695D3601" w:rsidR="00F54CCE" w:rsidRPr="00DA25CB" w:rsidRDefault="00A57DD7" w:rsidP="00B9594F">
      <w:pPr>
        <w:rPr>
          <w:szCs w:val="22"/>
        </w:rPr>
      </w:pPr>
      <w:r w:rsidRPr="00DA25CB">
        <w:rPr>
          <w:szCs w:val="22"/>
        </w:rPr>
        <w:t>I</w:t>
      </w:r>
      <w:r w:rsidR="00F54CCE" w:rsidRPr="00DA25CB">
        <w:rPr>
          <w:szCs w:val="22"/>
        </w:rPr>
        <w:t>n this co</w:t>
      </w:r>
      <w:r w:rsidR="00DD09B0" w:rsidRPr="00DA25CB">
        <w:rPr>
          <w:szCs w:val="22"/>
        </w:rPr>
        <w:t xml:space="preserve">ntribution, we </w:t>
      </w:r>
      <w:r w:rsidR="00E57FF2" w:rsidRPr="00DA25CB">
        <w:rPr>
          <w:rFonts w:hint="eastAsia"/>
          <w:szCs w:val="22"/>
        </w:rPr>
        <w:t>will</w:t>
      </w:r>
      <w:r w:rsidR="00E57FF2" w:rsidRPr="00DA25CB">
        <w:rPr>
          <w:szCs w:val="22"/>
        </w:rPr>
        <w:t xml:space="preserve"> </w:t>
      </w:r>
      <w:r w:rsidR="00E57FF2" w:rsidRPr="00DA25CB">
        <w:rPr>
          <w:rFonts w:hint="eastAsia"/>
          <w:szCs w:val="22"/>
        </w:rPr>
        <w:t>discuss</w:t>
      </w:r>
      <w:r w:rsidR="00DD09B0" w:rsidRPr="00DA25CB">
        <w:rPr>
          <w:szCs w:val="22"/>
        </w:rPr>
        <w:t xml:space="preserve"> </w:t>
      </w:r>
      <w:r w:rsidR="00DD09B0" w:rsidRPr="00DA25CB">
        <w:rPr>
          <w:rFonts w:hint="eastAsia"/>
          <w:szCs w:val="22"/>
        </w:rPr>
        <w:t>some</w:t>
      </w:r>
      <w:r w:rsidR="00DD09B0" w:rsidRPr="00DA25CB">
        <w:rPr>
          <w:szCs w:val="22"/>
        </w:rPr>
        <w:t xml:space="preserve"> </w:t>
      </w:r>
      <w:r w:rsidR="00DD09B0" w:rsidRPr="00DA25CB">
        <w:rPr>
          <w:rFonts w:hint="eastAsia"/>
          <w:szCs w:val="22"/>
        </w:rPr>
        <w:t>issues</w:t>
      </w:r>
      <w:r w:rsidR="00DD09B0" w:rsidRPr="00DA25CB">
        <w:rPr>
          <w:szCs w:val="22"/>
        </w:rPr>
        <w:t xml:space="preserve"> </w:t>
      </w:r>
      <w:r w:rsidR="00F42CAD" w:rsidRPr="00DA25CB">
        <w:rPr>
          <w:rFonts w:hint="eastAsia"/>
          <w:szCs w:val="22"/>
        </w:rPr>
        <w:t>on</w:t>
      </w:r>
      <w:r w:rsidR="0011687F">
        <w:rPr>
          <w:szCs w:val="22"/>
        </w:rPr>
        <w:t xml:space="preserve"> measurement</w:t>
      </w:r>
      <w:r w:rsidR="00E57FF2" w:rsidRPr="00DA25CB">
        <w:rPr>
          <w:szCs w:val="22"/>
        </w:rPr>
        <w:t xml:space="preserve"> in NTN</w:t>
      </w:r>
      <w:r w:rsidR="00F42CAD" w:rsidRPr="00DA25CB">
        <w:rPr>
          <w:szCs w:val="22"/>
        </w:rPr>
        <w:t xml:space="preserve"> </w:t>
      </w:r>
      <w:r w:rsidR="00F42CAD" w:rsidRPr="00DA25CB">
        <w:rPr>
          <w:rFonts w:hint="eastAsia"/>
          <w:szCs w:val="22"/>
        </w:rPr>
        <w:t>and</w:t>
      </w:r>
      <w:r w:rsidR="00F42CAD" w:rsidRPr="00DA25CB">
        <w:rPr>
          <w:szCs w:val="22"/>
        </w:rPr>
        <w:t xml:space="preserve"> </w:t>
      </w:r>
      <w:r w:rsidR="00F42CAD" w:rsidRPr="000E60ED">
        <w:rPr>
          <w:szCs w:val="22"/>
        </w:rPr>
        <w:t>provide some suggestions</w:t>
      </w:r>
      <w:r w:rsidR="00E57FF2" w:rsidRPr="00DA25CB">
        <w:rPr>
          <w:szCs w:val="22"/>
        </w:rPr>
        <w:t>.</w:t>
      </w:r>
    </w:p>
    <w:p w14:paraId="39A40416" w14:textId="5FF8184E" w:rsidR="00C17FCF" w:rsidRPr="00F718E0" w:rsidRDefault="00703220" w:rsidP="0096442F">
      <w:pPr>
        <w:pStyle w:val="1"/>
        <w:rPr>
          <w:sz w:val="40"/>
        </w:rPr>
      </w:pPr>
      <w:r w:rsidRPr="008912F0">
        <w:rPr>
          <w:rFonts w:hint="eastAsia"/>
          <w:sz w:val="40"/>
        </w:rPr>
        <w:t>Discussion</w:t>
      </w:r>
    </w:p>
    <w:p w14:paraId="636CE4E8" w14:textId="18BACDB1" w:rsidR="00C17FCF" w:rsidRPr="001F03F0" w:rsidRDefault="00C17FCF" w:rsidP="001F03F0">
      <w:pPr>
        <w:pStyle w:val="2"/>
        <w:rPr>
          <w:lang w:val="en-US"/>
        </w:rPr>
      </w:pPr>
      <w:r w:rsidRPr="001F03F0">
        <w:rPr>
          <w:lang w:val="en-US"/>
        </w:rPr>
        <w:t>Measurement initiation condition</w:t>
      </w:r>
    </w:p>
    <w:p w14:paraId="5171B16D" w14:textId="2078A889" w:rsidR="007242DC" w:rsidRDefault="00B73B55" w:rsidP="007242DC">
      <w:pPr>
        <w:rPr>
          <w:lang w:val="en-US"/>
        </w:rPr>
      </w:pPr>
      <w:r>
        <w:rPr>
          <w:rFonts w:hint="eastAsia"/>
          <w:lang w:val="en-US"/>
        </w:rPr>
        <w:t>In</w:t>
      </w:r>
      <w:r>
        <w:rPr>
          <w:lang w:val="en-US"/>
        </w:rPr>
        <w:t xml:space="preserve"> </w:t>
      </w:r>
      <w:r>
        <w:rPr>
          <w:rFonts w:hint="eastAsia"/>
          <w:lang w:val="en-US"/>
        </w:rPr>
        <w:t>R16,</w:t>
      </w:r>
      <w:r>
        <w:rPr>
          <w:lang w:val="en-US"/>
        </w:rPr>
        <w:t xml:space="preserve"> connected </w:t>
      </w:r>
      <w:r w:rsidR="00A25E2B">
        <w:rPr>
          <w:lang w:val="en-US"/>
        </w:rPr>
        <w:t xml:space="preserve">mode UE based on </w:t>
      </w:r>
      <w:r w:rsidR="00A25E2B" w:rsidRPr="00CA3ECC">
        <w:rPr>
          <w:i/>
        </w:rPr>
        <w:t>s-</w:t>
      </w:r>
      <w:proofErr w:type="spellStart"/>
      <w:r w:rsidR="00A25E2B" w:rsidRPr="00CA3ECC">
        <w:rPr>
          <w:i/>
        </w:rPr>
        <w:t>MeasureConfi</w:t>
      </w:r>
      <w:r w:rsidR="00A25E2B">
        <w:rPr>
          <w:i/>
        </w:rPr>
        <w:t>g</w:t>
      </w:r>
      <w:proofErr w:type="spellEnd"/>
      <w:r w:rsidR="00A25E2B">
        <w:t xml:space="preserve"> to </w:t>
      </w:r>
      <w:r w:rsidR="00A25E2B" w:rsidRPr="00A25E2B">
        <w:rPr>
          <w:lang w:val="en-US"/>
        </w:rPr>
        <w:t>perform me</w:t>
      </w:r>
      <w:r w:rsidR="00BB15EA">
        <w:rPr>
          <w:lang w:val="en-US"/>
        </w:rPr>
        <w:t xml:space="preserve">asurements on non-serving cells, which </w:t>
      </w:r>
      <w:r w:rsidR="003B05ED">
        <w:rPr>
          <w:lang w:val="en-US"/>
        </w:rPr>
        <w:t xml:space="preserve">is </w:t>
      </w:r>
      <w:r w:rsidR="00BB15EA">
        <w:rPr>
          <w:lang w:val="en-US"/>
        </w:rPr>
        <w:t xml:space="preserve">the threshold for NR </w:t>
      </w:r>
      <w:proofErr w:type="spellStart"/>
      <w:r w:rsidR="00BB15EA">
        <w:rPr>
          <w:lang w:val="en-US"/>
        </w:rPr>
        <w:t>SpCell</w:t>
      </w:r>
      <w:proofErr w:type="spellEnd"/>
      <w:r w:rsidR="00BB15EA">
        <w:rPr>
          <w:lang w:val="en-US"/>
        </w:rPr>
        <w:t xml:space="preserve"> RSRP measurement. But in NTN system</w:t>
      </w:r>
      <w:r w:rsidR="00871BE9">
        <w:rPr>
          <w:lang w:val="en-US"/>
        </w:rPr>
        <w:t>,</w:t>
      </w:r>
      <w:r w:rsidR="00871BE9" w:rsidRPr="00871BE9">
        <w:rPr>
          <w:rFonts w:eastAsia="Malgun Gothic"/>
          <w:lang w:val="en-US" w:eastAsia="ko-KR"/>
        </w:rPr>
        <w:t xml:space="preserve"> </w:t>
      </w:r>
      <w:r w:rsidR="00871BE9">
        <w:rPr>
          <w:rFonts w:eastAsia="Malgun Gothic"/>
          <w:lang w:val="en-US" w:eastAsia="ko-KR"/>
        </w:rPr>
        <w:t xml:space="preserve">the near-far effect is not </w:t>
      </w:r>
      <w:r w:rsidR="00871BE9" w:rsidRPr="00DA6A2E">
        <w:rPr>
          <w:rFonts w:eastAsia="Malgun Gothic"/>
          <w:lang w:val="en-US" w:eastAsia="ko-KR"/>
        </w:rPr>
        <w:t>pronounce</w:t>
      </w:r>
      <w:r w:rsidR="00871BE9">
        <w:rPr>
          <w:rFonts w:eastAsia="Malgun Gothic"/>
          <w:lang w:val="en-US" w:eastAsia="ko-KR"/>
        </w:rPr>
        <w:t>d.</w:t>
      </w:r>
      <w:r w:rsidR="0075094B">
        <w:rPr>
          <w:rFonts w:eastAsia="Malgun Gothic"/>
          <w:lang w:val="en-US" w:eastAsia="ko-KR"/>
        </w:rPr>
        <w:t xml:space="preserve"> </w:t>
      </w:r>
      <w:r w:rsidR="003A48B3">
        <w:rPr>
          <w:rFonts w:eastAsia="Malgun Gothic"/>
          <w:lang w:val="en-US" w:eastAsia="ko-KR"/>
        </w:rPr>
        <w:t>So</w:t>
      </w:r>
      <w:r w:rsidR="0075094B">
        <w:rPr>
          <w:rFonts w:eastAsia="Malgun Gothic"/>
          <w:lang w:val="en-US" w:eastAsia="ko-KR"/>
        </w:rPr>
        <w:t xml:space="preserve">, UE cannot make sure </w:t>
      </w:r>
      <w:r w:rsidR="00E04C37">
        <w:rPr>
          <w:rFonts w:eastAsia="Malgun Gothic"/>
          <w:lang w:val="en-US" w:eastAsia="ko-KR"/>
        </w:rPr>
        <w:t xml:space="preserve">whether </w:t>
      </w:r>
      <w:r w:rsidR="0075094B" w:rsidRPr="0075094B">
        <w:rPr>
          <w:rFonts w:eastAsia="Malgun Gothic"/>
          <w:lang w:val="en-US" w:eastAsia="ko-KR"/>
        </w:rPr>
        <w:t xml:space="preserve">itself </w:t>
      </w:r>
      <w:r w:rsidR="00C958A1" w:rsidRPr="00C958A1">
        <w:rPr>
          <w:lang w:val="en-US"/>
        </w:rPr>
        <w:t>is</w:t>
      </w:r>
      <w:r w:rsidR="00E04C37" w:rsidRPr="00C958A1">
        <w:rPr>
          <w:lang w:val="en-US"/>
        </w:rPr>
        <w:t xml:space="preserve"> in the</w:t>
      </w:r>
      <w:r w:rsidR="0075094B">
        <w:rPr>
          <w:lang w:val="en-US"/>
        </w:rPr>
        <w:t xml:space="preserve"> serving</w:t>
      </w:r>
      <w:r w:rsidR="00C958A1" w:rsidRPr="00C958A1">
        <w:rPr>
          <w:lang w:val="en-US"/>
        </w:rPr>
        <w:t xml:space="preserve"> cell center or edge based on </w:t>
      </w:r>
      <w:r w:rsidR="0075094B">
        <w:rPr>
          <w:lang w:val="en-US"/>
        </w:rPr>
        <w:t xml:space="preserve">serving cell </w:t>
      </w:r>
      <w:r w:rsidR="00FE2B01">
        <w:rPr>
          <w:lang w:val="en-US"/>
        </w:rPr>
        <w:t>measurement result</w:t>
      </w:r>
      <w:r w:rsidR="0075094B">
        <w:rPr>
          <w:lang w:val="en-US"/>
        </w:rPr>
        <w:t xml:space="preserve"> in NTN system</w:t>
      </w:r>
      <w:r w:rsidR="0075094B">
        <w:rPr>
          <w:rFonts w:hint="eastAsia"/>
          <w:lang w:val="en-US"/>
        </w:rPr>
        <w:t>.</w:t>
      </w:r>
      <w:r w:rsidR="0075094B">
        <w:rPr>
          <w:lang w:val="en-US"/>
        </w:rPr>
        <w:t xml:space="preserve"> If UE </w:t>
      </w:r>
      <w:r w:rsidR="003A48B3">
        <w:rPr>
          <w:lang w:val="en-US"/>
        </w:rPr>
        <w:t xml:space="preserve">trigger non-serving cell measurements </w:t>
      </w:r>
      <w:r w:rsidR="0075094B">
        <w:rPr>
          <w:lang w:val="en-US"/>
        </w:rPr>
        <w:t>base</w:t>
      </w:r>
      <w:r w:rsidR="008D3F90">
        <w:rPr>
          <w:lang w:val="en-US"/>
        </w:rPr>
        <w:t>d</w:t>
      </w:r>
      <w:r w:rsidR="0075094B">
        <w:rPr>
          <w:lang w:val="en-US"/>
        </w:rPr>
        <w:t xml:space="preserve"> on the </w:t>
      </w:r>
      <w:r w:rsidR="00B670AB">
        <w:rPr>
          <w:lang w:val="en-US"/>
        </w:rPr>
        <w:t xml:space="preserve">serving cell RSRP, </w:t>
      </w:r>
      <w:r w:rsidR="003A48B3">
        <w:rPr>
          <w:lang w:val="en-US"/>
        </w:rPr>
        <w:t>UE may measure non-serving cells too early or too late.</w:t>
      </w:r>
    </w:p>
    <w:p w14:paraId="4D84CE54" w14:textId="2FC70AA7" w:rsidR="00852597" w:rsidRPr="003B05ED" w:rsidRDefault="00852597" w:rsidP="00852597">
      <w:pPr>
        <w:rPr>
          <w:b/>
        </w:rPr>
      </w:pPr>
      <w:r w:rsidRPr="003B05ED">
        <w:rPr>
          <w:rFonts w:hint="eastAsia"/>
          <w:b/>
        </w:rPr>
        <w:t xml:space="preserve">Observation </w:t>
      </w:r>
      <w:r w:rsidR="00BF18D1">
        <w:rPr>
          <w:b/>
        </w:rPr>
        <w:t>1</w:t>
      </w:r>
      <w:r w:rsidR="003B05ED">
        <w:rPr>
          <w:b/>
        </w:rPr>
        <w:t xml:space="preserve">: </w:t>
      </w:r>
      <w:r w:rsidR="00042BFF" w:rsidRPr="003B05ED">
        <w:rPr>
          <w:b/>
        </w:rPr>
        <w:t>C</w:t>
      </w:r>
      <w:r w:rsidRPr="003B05ED">
        <w:rPr>
          <w:b/>
        </w:rPr>
        <w:t>riterion</w:t>
      </w:r>
      <w:r w:rsidR="008D3F90">
        <w:rPr>
          <w:b/>
        </w:rPr>
        <w:t xml:space="preserve"> based on </w:t>
      </w:r>
      <w:r w:rsidR="00A8230C" w:rsidRPr="00A8230C">
        <w:rPr>
          <w:b/>
        </w:rPr>
        <w:t xml:space="preserve">signal strength </w:t>
      </w:r>
      <w:r w:rsidR="00A8230C">
        <w:rPr>
          <w:b/>
        </w:rPr>
        <w:t xml:space="preserve">of </w:t>
      </w:r>
      <w:r w:rsidR="008D3F90">
        <w:rPr>
          <w:b/>
        </w:rPr>
        <w:t xml:space="preserve">serving cell </w:t>
      </w:r>
      <w:r w:rsidRPr="003B05ED">
        <w:rPr>
          <w:b/>
        </w:rPr>
        <w:t xml:space="preserve">for </w:t>
      </w:r>
      <w:r w:rsidR="00042BFF" w:rsidRPr="003B05ED">
        <w:rPr>
          <w:b/>
        </w:rPr>
        <w:t>measurements on non-serving cells is inadequate in the</w:t>
      </w:r>
      <w:r w:rsidRPr="003B05ED">
        <w:rPr>
          <w:b/>
        </w:rPr>
        <w:t xml:space="preserve"> NTN </w:t>
      </w:r>
      <w:r w:rsidR="00042BFF" w:rsidRPr="003B05ED">
        <w:rPr>
          <w:b/>
        </w:rPr>
        <w:t xml:space="preserve">system </w:t>
      </w:r>
      <w:r w:rsidR="00233A48" w:rsidRPr="003B05ED">
        <w:rPr>
          <w:b/>
        </w:rPr>
        <w:t>as the near-far effect is not pronounced</w:t>
      </w:r>
      <w:r w:rsidRPr="003B05ED">
        <w:rPr>
          <w:b/>
        </w:rPr>
        <w:t xml:space="preserve">. </w:t>
      </w:r>
    </w:p>
    <w:p w14:paraId="71A779AB" w14:textId="4C55925F" w:rsidR="00D214EF" w:rsidRDefault="00233A48" w:rsidP="007242DC">
      <w:pPr>
        <w:rPr>
          <w:szCs w:val="22"/>
          <w:lang w:val="en-US"/>
        </w:rPr>
      </w:pPr>
      <w:r>
        <w:rPr>
          <w:rFonts w:hint="eastAsia"/>
          <w:lang w:val="en-US"/>
        </w:rPr>
        <w:lastRenderedPageBreak/>
        <w:t>Considering</w:t>
      </w:r>
      <w:r>
        <w:rPr>
          <w:lang w:val="en-US"/>
        </w:rPr>
        <w:t xml:space="preserve"> </w:t>
      </w:r>
      <w:r>
        <w:rPr>
          <w:rFonts w:hint="eastAsia"/>
          <w:lang w:val="en-US"/>
        </w:rPr>
        <w:t>the</w:t>
      </w:r>
      <w:r>
        <w:rPr>
          <w:lang w:val="en-US"/>
        </w:rPr>
        <w:t xml:space="preserve"> </w:t>
      </w:r>
      <w:r w:rsidRPr="00233A48">
        <w:rPr>
          <w:lang w:val="en-US"/>
        </w:rPr>
        <w:t>deterministic</w:t>
      </w:r>
      <w:r>
        <w:rPr>
          <w:lang w:val="en-US"/>
        </w:rPr>
        <w:t xml:space="preserve"> </w:t>
      </w:r>
      <w:r>
        <w:rPr>
          <w:rFonts w:hint="eastAsia"/>
          <w:lang w:val="en-US"/>
        </w:rPr>
        <w:t>movement</w:t>
      </w:r>
      <w:r>
        <w:rPr>
          <w:lang w:val="en-US"/>
        </w:rPr>
        <w:t xml:space="preserve"> </w:t>
      </w:r>
      <w:r>
        <w:rPr>
          <w:rFonts w:hint="eastAsia"/>
          <w:lang w:val="en-US"/>
        </w:rPr>
        <w:t>of</w:t>
      </w:r>
      <w:r>
        <w:rPr>
          <w:lang w:val="en-US"/>
        </w:rPr>
        <w:t xml:space="preserve"> </w:t>
      </w:r>
      <w:r>
        <w:rPr>
          <w:rFonts w:hint="eastAsia"/>
          <w:lang w:val="en-US"/>
        </w:rPr>
        <w:t>satellites</w:t>
      </w:r>
      <w:r>
        <w:rPr>
          <w:lang w:val="en-US"/>
        </w:rPr>
        <w:t xml:space="preserve"> </w:t>
      </w:r>
      <w:r>
        <w:rPr>
          <w:rFonts w:hint="eastAsia"/>
          <w:lang w:val="en-US"/>
        </w:rPr>
        <w:t>and</w:t>
      </w:r>
      <w:r>
        <w:rPr>
          <w:lang w:val="en-US"/>
        </w:rPr>
        <w:t xml:space="preserve"> </w:t>
      </w:r>
      <w:r>
        <w:rPr>
          <w:rFonts w:hint="eastAsia"/>
          <w:lang w:val="en-US"/>
        </w:rPr>
        <w:t>satellites</w:t>
      </w:r>
      <w:r>
        <w:rPr>
          <w:lang w:val="en-US"/>
        </w:rPr>
        <w:t xml:space="preserve"> </w:t>
      </w:r>
      <w:r>
        <w:rPr>
          <w:rFonts w:hint="eastAsia"/>
          <w:lang w:val="en-US"/>
        </w:rPr>
        <w:t>cell</w:t>
      </w:r>
      <w:r w:rsidR="00D214EF">
        <w:rPr>
          <w:rFonts w:hint="eastAsia"/>
          <w:lang w:val="en-US"/>
        </w:rPr>
        <w:t>,</w:t>
      </w:r>
      <w:r w:rsidR="00D214EF">
        <w:rPr>
          <w:lang w:val="en-US"/>
        </w:rPr>
        <w:t xml:space="preserve"> </w:t>
      </w:r>
      <w:r>
        <w:rPr>
          <w:rFonts w:hint="eastAsia"/>
          <w:lang w:val="en-US"/>
        </w:rPr>
        <w:t>UE</w:t>
      </w:r>
      <w:r>
        <w:rPr>
          <w:lang w:val="en-US"/>
        </w:rPr>
        <w:t xml:space="preserve"> </w:t>
      </w:r>
      <w:r>
        <w:rPr>
          <w:rFonts w:hint="eastAsia"/>
          <w:lang w:val="en-US"/>
        </w:rPr>
        <w:t>can</w:t>
      </w:r>
      <w:r>
        <w:rPr>
          <w:lang w:val="en-US"/>
        </w:rPr>
        <w:t xml:space="preserve"> </w:t>
      </w:r>
      <w:r w:rsidR="00D214EF" w:rsidRPr="00D214EF">
        <w:rPr>
          <w:lang w:val="en-US"/>
        </w:rPr>
        <w:t>estimate</w:t>
      </w:r>
      <w:r w:rsidR="00D214EF">
        <w:rPr>
          <w:rFonts w:eastAsia="Malgun Gothic"/>
          <w:lang w:val="en-US" w:eastAsia="ko-KR"/>
        </w:rPr>
        <w:t xml:space="preserve"> whether </w:t>
      </w:r>
      <w:r w:rsidR="00D214EF" w:rsidRPr="0075094B">
        <w:rPr>
          <w:rFonts w:eastAsia="Malgun Gothic"/>
          <w:lang w:val="en-US" w:eastAsia="ko-KR"/>
        </w:rPr>
        <w:t xml:space="preserve">itself </w:t>
      </w:r>
      <w:r w:rsidR="00D214EF" w:rsidRPr="00C958A1">
        <w:rPr>
          <w:lang w:val="en-US"/>
        </w:rPr>
        <w:t>is in the</w:t>
      </w:r>
      <w:r w:rsidR="00D214EF">
        <w:rPr>
          <w:lang w:val="en-US"/>
        </w:rPr>
        <w:t xml:space="preserve"> </w:t>
      </w:r>
      <w:r w:rsidR="00D214EF" w:rsidRPr="00C958A1">
        <w:rPr>
          <w:lang w:val="en-US"/>
        </w:rPr>
        <w:t>cell center or edge</w:t>
      </w:r>
      <w:r w:rsidR="00D214EF">
        <w:rPr>
          <w:lang w:val="en-US"/>
        </w:rPr>
        <w:t xml:space="preserve"> </w:t>
      </w:r>
      <w:r w:rsidR="00D214EF">
        <w:rPr>
          <w:rFonts w:hint="eastAsia"/>
          <w:lang w:val="en-US"/>
        </w:rPr>
        <w:t>based</w:t>
      </w:r>
      <w:r w:rsidR="00D214EF">
        <w:rPr>
          <w:lang w:val="en-US"/>
        </w:rPr>
        <w:t xml:space="preserve"> </w:t>
      </w:r>
      <w:r w:rsidR="00D214EF">
        <w:rPr>
          <w:rFonts w:hint="eastAsia"/>
          <w:lang w:val="en-US"/>
        </w:rPr>
        <w:t>on</w:t>
      </w:r>
      <w:r w:rsidR="00D214EF">
        <w:rPr>
          <w:lang w:val="en-US"/>
        </w:rPr>
        <w:t xml:space="preserve"> </w:t>
      </w:r>
      <w:r w:rsidR="00D214EF">
        <w:rPr>
          <w:rFonts w:hint="eastAsia"/>
          <w:lang w:val="en-US"/>
        </w:rPr>
        <w:t>the</w:t>
      </w:r>
      <w:r w:rsidR="00D214EF">
        <w:rPr>
          <w:lang w:val="en-US"/>
        </w:rPr>
        <w:t xml:space="preserve"> </w:t>
      </w:r>
      <w:r w:rsidR="00D214EF">
        <w:rPr>
          <w:rFonts w:hint="eastAsia"/>
          <w:lang w:val="en-US"/>
        </w:rPr>
        <w:t>satellite cells</w:t>
      </w:r>
      <w:r w:rsidR="00D214EF">
        <w:rPr>
          <w:lang w:val="en-US"/>
        </w:rPr>
        <w:t xml:space="preserve"> </w:t>
      </w:r>
      <w:r w:rsidR="00D214EF">
        <w:rPr>
          <w:rFonts w:hint="eastAsia"/>
          <w:lang w:val="en-US"/>
        </w:rPr>
        <w:t>and</w:t>
      </w:r>
      <w:r w:rsidR="00D214EF">
        <w:rPr>
          <w:lang w:val="en-US"/>
        </w:rPr>
        <w:t xml:space="preserve"> </w:t>
      </w:r>
      <w:r w:rsidR="00D214EF">
        <w:rPr>
          <w:rFonts w:hint="eastAsia"/>
          <w:lang w:val="en-US"/>
        </w:rPr>
        <w:t>UE</w:t>
      </w:r>
      <w:r w:rsidR="00D214EF">
        <w:rPr>
          <w:lang w:val="en-US"/>
        </w:rPr>
        <w:t xml:space="preserve"> </w:t>
      </w:r>
      <w:r w:rsidR="00D214EF">
        <w:rPr>
          <w:rFonts w:hint="eastAsia"/>
          <w:lang w:val="en-US"/>
        </w:rPr>
        <w:t>location</w:t>
      </w:r>
      <w:r w:rsidR="00D214EF">
        <w:rPr>
          <w:lang w:val="en-US"/>
        </w:rPr>
        <w:t xml:space="preserve"> </w:t>
      </w:r>
      <w:r w:rsidR="00D214EF">
        <w:rPr>
          <w:rFonts w:hint="eastAsia"/>
          <w:lang w:val="en-US"/>
        </w:rPr>
        <w:t>information.</w:t>
      </w:r>
      <w:r w:rsidR="00B41B2C">
        <w:rPr>
          <w:rFonts w:hint="eastAsia"/>
          <w:lang w:val="en-US"/>
        </w:rPr>
        <w:t xml:space="preserve"> </w:t>
      </w:r>
      <w:r w:rsidR="00B41B2C">
        <w:rPr>
          <w:lang w:val="en-US"/>
        </w:rPr>
        <w:t>So</w:t>
      </w:r>
      <w:r w:rsidR="00F56AE5">
        <w:rPr>
          <w:lang w:val="en-US"/>
        </w:rPr>
        <w:t xml:space="preserve">, </w:t>
      </w:r>
      <w:r w:rsidR="00B41B2C">
        <w:rPr>
          <w:lang w:val="en-US"/>
        </w:rPr>
        <w:t xml:space="preserve">RAN2 </w:t>
      </w:r>
      <w:r w:rsidR="00F56AE5">
        <w:rPr>
          <w:lang w:val="en-US"/>
        </w:rPr>
        <w:t>should</w:t>
      </w:r>
      <w:r w:rsidR="00E80023">
        <w:rPr>
          <w:lang w:val="en-US"/>
        </w:rPr>
        <w:t xml:space="preserve"> study </w:t>
      </w:r>
      <w:r w:rsidR="00B41B2C">
        <w:rPr>
          <w:lang w:val="en-US"/>
        </w:rPr>
        <w:t xml:space="preserve">measurement </w:t>
      </w:r>
      <w:r w:rsidR="00B41B2C" w:rsidRPr="00C17FCF">
        <w:rPr>
          <w:szCs w:val="22"/>
          <w:lang w:val="en-US"/>
        </w:rPr>
        <w:t>initiation condition</w:t>
      </w:r>
      <w:r w:rsidR="00E80023">
        <w:rPr>
          <w:szCs w:val="22"/>
          <w:lang w:val="en-US"/>
        </w:rPr>
        <w:t xml:space="preserve"> for </w:t>
      </w:r>
      <w:r w:rsidR="00E80023">
        <w:rPr>
          <w:lang w:val="en-US"/>
        </w:rPr>
        <w:t>non-serving cells</w:t>
      </w:r>
      <w:r w:rsidR="00E80023">
        <w:rPr>
          <w:szCs w:val="22"/>
          <w:lang w:val="en-US"/>
        </w:rPr>
        <w:t xml:space="preserve"> </w:t>
      </w:r>
      <w:r w:rsidR="00B41B2C">
        <w:rPr>
          <w:szCs w:val="22"/>
          <w:lang w:val="en-US"/>
        </w:rPr>
        <w:t xml:space="preserve">based on </w:t>
      </w:r>
      <w:r w:rsidR="00F56AE5">
        <w:rPr>
          <w:szCs w:val="22"/>
          <w:lang w:val="en-US"/>
        </w:rPr>
        <w:t xml:space="preserve">serving cell and UE </w:t>
      </w:r>
      <w:r w:rsidR="00B41B2C">
        <w:rPr>
          <w:szCs w:val="22"/>
          <w:lang w:val="en-US"/>
        </w:rPr>
        <w:t>location information</w:t>
      </w:r>
      <w:r w:rsidR="00F56AE5">
        <w:rPr>
          <w:rFonts w:hint="eastAsia"/>
          <w:szCs w:val="22"/>
          <w:lang w:val="en-US"/>
        </w:rPr>
        <w:t>.</w:t>
      </w:r>
    </w:p>
    <w:p w14:paraId="00E678FB" w14:textId="0F9AC502" w:rsidR="00CD0619" w:rsidRPr="00F56AE5" w:rsidRDefault="00CD0619" w:rsidP="00CD0619">
      <w:pPr>
        <w:rPr>
          <w:b/>
          <w:lang w:val="en-US"/>
        </w:rPr>
      </w:pPr>
      <w:r w:rsidRPr="00F56AE5">
        <w:rPr>
          <w:b/>
          <w:lang w:val="en-US"/>
        </w:rPr>
        <w:t>Proposal 1:</w:t>
      </w:r>
      <w:r w:rsidRPr="00F56AE5">
        <w:rPr>
          <w:b/>
        </w:rPr>
        <w:t xml:space="preserve"> </w:t>
      </w:r>
      <w:r w:rsidR="00F56AE5">
        <w:rPr>
          <w:b/>
          <w:lang w:val="en-US"/>
        </w:rPr>
        <w:t>RAN2 should</w:t>
      </w:r>
      <w:r w:rsidRPr="00F56AE5">
        <w:rPr>
          <w:b/>
          <w:lang w:val="en-US"/>
        </w:rPr>
        <w:t xml:space="preserve"> study measurement initiation condition </w:t>
      </w:r>
      <w:r w:rsidR="00DE6AC9" w:rsidRPr="00DE6AC9">
        <w:rPr>
          <w:b/>
          <w:lang w:val="en-US"/>
        </w:rPr>
        <w:t xml:space="preserve">for non-serving cells </w:t>
      </w:r>
      <w:r w:rsidRPr="00F56AE5">
        <w:rPr>
          <w:b/>
          <w:lang w:val="en-US"/>
        </w:rPr>
        <w:t>based on location information, the following options can be considered.</w:t>
      </w:r>
    </w:p>
    <w:p w14:paraId="24BBD627" w14:textId="77777777" w:rsidR="00CD0619" w:rsidRPr="00F56AE5" w:rsidRDefault="00CD0619" w:rsidP="00F56AE5">
      <w:pPr>
        <w:ind w:leftChars="100" w:left="220"/>
        <w:rPr>
          <w:b/>
          <w:lang w:val="en-US"/>
        </w:rPr>
      </w:pPr>
      <w:r w:rsidRPr="00F56AE5">
        <w:rPr>
          <w:b/>
          <w:lang w:val="en-US"/>
        </w:rPr>
        <w:t>Option 1: UE can perform measurements on non-serving cells based on the distance between UE and the serving satellite.</w:t>
      </w:r>
    </w:p>
    <w:p w14:paraId="55136D03" w14:textId="77777777" w:rsidR="00CD0619" w:rsidRPr="00F56AE5" w:rsidRDefault="00CD0619" w:rsidP="00F56AE5">
      <w:pPr>
        <w:ind w:leftChars="100" w:left="220"/>
        <w:rPr>
          <w:b/>
          <w:lang w:val="en-US"/>
        </w:rPr>
      </w:pPr>
      <w:r w:rsidRPr="00F56AE5">
        <w:rPr>
          <w:b/>
          <w:lang w:val="en-US"/>
        </w:rPr>
        <w:t>Option 2: UE can perform measurements on non-serving cells based on the distance between UE and the center of serving cell.</w:t>
      </w:r>
    </w:p>
    <w:p w14:paraId="4EE7495D" w14:textId="6549DF12" w:rsidR="00CD0619" w:rsidRPr="00F56AE5" w:rsidRDefault="00CD0619" w:rsidP="00F56AE5">
      <w:pPr>
        <w:ind w:leftChars="100" w:left="220"/>
        <w:rPr>
          <w:b/>
          <w:lang w:val="en-US"/>
        </w:rPr>
      </w:pPr>
      <w:r w:rsidRPr="00F56AE5">
        <w:rPr>
          <w:b/>
          <w:lang w:val="en-US"/>
        </w:rPr>
        <w:t>Option 3: UE can perform measurements on non-serving cells based on a geographical area scope referring to the coverage information of serving cell.</w:t>
      </w:r>
    </w:p>
    <w:p w14:paraId="22B39EE8" w14:textId="071B26D6" w:rsidR="004F28B5" w:rsidRPr="001F03F0" w:rsidRDefault="00702866" w:rsidP="001F03F0">
      <w:pPr>
        <w:pStyle w:val="2"/>
        <w:rPr>
          <w:lang w:val="en-US"/>
        </w:rPr>
      </w:pPr>
      <w:r w:rsidRPr="001F03F0">
        <w:rPr>
          <w:lang w:val="en-US"/>
        </w:rPr>
        <w:t xml:space="preserve">Location based </w:t>
      </w:r>
      <w:r w:rsidR="00CD0619" w:rsidRPr="001F03F0">
        <w:rPr>
          <w:lang w:val="en-US"/>
        </w:rPr>
        <w:t>measurement</w:t>
      </w:r>
      <w:r w:rsidR="004F28B5" w:rsidRPr="001F03F0">
        <w:rPr>
          <w:lang w:val="en-US"/>
        </w:rPr>
        <w:t xml:space="preserve"> e</w:t>
      </w:r>
      <w:r w:rsidR="005F5975" w:rsidRPr="001F03F0">
        <w:rPr>
          <w:lang w:val="en-US"/>
        </w:rPr>
        <w:t>vent</w:t>
      </w:r>
    </w:p>
    <w:p w14:paraId="5FE3E64C" w14:textId="11FF715B" w:rsidR="004F28B5" w:rsidRDefault="00712950" w:rsidP="004F28B5">
      <w:r>
        <w:rPr>
          <w:szCs w:val="22"/>
        </w:rPr>
        <w:t>In RAN2#112</w:t>
      </w:r>
      <w:r w:rsidR="004F28B5" w:rsidRPr="00DA25CB">
        <w:rPr>
          <w:szCs w:val="22"/>
        </w:rPr>
        <w:t xml:space="preserve"> e-meeting</w:t>
      </w:r>
      <w:r>
        <w:rPr>
          <w:szCs w:val="22"/>
        </w:rPr>
        <w:t xml:space="preserve"> [1]</w:t>
      </w:r>
      <w:r w:rsidR="004F28B5">
        <w:t xml:space="preserve">, location based </w:t>
      </w:r>
      <w:r w:rsidR="00A41BCD">
        <w:t>m</w:t>
      </w:r>
      <w:r w:rsidR="004F28B5">
        <w:t>easurement e</w:t>
      </w:r>
      <w:r w:rsidR="005F5975">
        <w:t>vent</w:t>
      </w:r>
      <w:r w:rsidR="004F28B5">
        <w:t xml:space="preserve"> has been introduced</w:t>
      </w:r>
      <w:r w:rsidR="004F28B5" w:rsidRPr="00637EB8">
        <w:t>, in combin</w:t>
      </w:r>
      <w:r w:rsidR="004F28B5">
        <w:t xml:space="preserve">ation with the existing </w:t>
      </w:r>
      <w:r w:rsidR="004F28B5" w:rsidRPr="00637EB8">
        <w:t>measurement</w:t>
      </w:r>
      <w:r w:rsidR="004F28B5">
        <w:t xml:space="preserve"> event in NR</w:t>
      </w:r>
      <w:r w:rsidR="004F28B5">
        <w:rPr>
          <w:rFonts w:hint="eastAsia"/>
        </w:rPr>
        <w:t>,</w:t>
      </w:r>
      <w:r w:rsidR="004F28B5">
        <w:t xml:space="preserve"> </w:t>
      </w:r>
      <w:r w:rsidR="004F28B5" w:rsidRPr="00637EB8">
        <w:t>for both movi</w:t>
      </w:r>
      <w:r w:rsidR="004F28B5">
        <w:t>ng cell and fixed cell scenario</w:t>
      </w:r>
      <w:r w:rsidR="004F28B5">
        <w:rPr>
          <w:rFonts w:hint="eastAsia"/>
        </w:rPr>
        <w:t>.</w:t>
      </w:r>
      <w:r w:rsidR="004F28B5">
        <w:t xml:space="preserve"> </w:t>
      </w:r>
      <w:r w:rsidR="004F28B5" w:rsidRPr="002A7446">
        <w:t xml:space="preserve">FFS on </w:t>
      </w:r>
      <w:bookmarkStart w:id="1" w:name="OLE_LINK10"/>
      <w:r w:rsidR="004F28B5" w:rsidRPr="002A7446">
        <w:t>how to configure the location based measurement event.</w:t>
      </w:r>
      <w:bookmarkEnd w:id="1"/>
    </w:p>
    <w:p w14:paraId="0FAC68A2" w14:textId="52B2AF17" w:rsidR="008C47CC" w:rsidRPr="008C47CC" w:rsidRDefault="008C47CC" w:rsidP="004F28B5">
      <w:r>
        <w:rPr>
          <w:lang w:val="en-US"/>
        </w:rPr>
        <w:t xml:space="preserve">Similar to </w:t>
      </w:r>
      <w:r>
        <w:rPr>
          <w:rFonts w:hint="eastAsia"/>
          <w:lang w:val="en-US"/>
        </w:rPr>
        <w:t>location</w:t>
      </w:r>
      <w:r>
        <w:rPr>
          <w:lang w:val="en-US"/>
        </w:rPr>
        <w:t xml:space="preserve"> </w:t>
      </w:r>
      <w:r>
        <w:rPr>
          <w:rFonts w:hint="eastAsia"/>
          <w:lang w:val="en-US"/>
        </w:rPr>
        <w:t>based</w:t>
      </w:r>
      <w:r>
        <w:rPr>
          <w:lang w:val="en-US"/>
        </w:rPr>
        <w:t xml:space="preserve"> </w:t>
      </w:r>
      <w:r>
        <w:rPr>
          <w:rFonts w:hint="eastAsia"/>
          <w:lang w:val="en-US"/>
        </w:rPr>
        <w:t>CHO</w:t>
      </w:r>
      <w:r>
        <w:rPr>
          <w:lang w:val="en-US"/>
        </w:rPr>
        <w:t xml:space="preserve"> </w:t>
      </w:r>
      <w:r>
        <w:rPr>
          <w:rFonts w:hint="eastAsia"/>
          <w:lang w:val="en-US"/>
        </w:rPr>
        <w:t>triggering</w:t>
      </w:r>
      <w:r>
        <w:rPr>
          <w:lang w:val="en-US"/>
        </w:rPr>
        <w:t xml:space="preserve"> </w:t>
      </w:r>
      <w:r w:rsidR="005161EA">
        <w:rPr>
          <w:lang w:val="en-US"/>
        </w:rPr>
        <w:t>event</w:t>
      </w:r>
      <w:r w:rsidR="00FF5C30">
        <w:rPr>
          <w:lang w:val="en-US"/>
        </w:rPr>
        <w:t xml:space="preserve"> which we have discussed in </w:t>
      </w:r>
      <w:r w:rsidR="00FF5C30" w:rsidRPr="00FF5C30">
        <w:rPr>
          <w:lang w:val="en-US"/>
        </w:rPr>
        <w:t xml:space="preserve">companion </w:t>
      </w:r>
      <w:proofErr w:type="spellStart"/>
      <w:r w:rsidR="00FF5C30" w:rsidRPr="00FF5C30">
        <w:rPr>
          <w:lang w:val="en-US"/>
        </w:rPr>
        <w:t>tdoc</w:t>
      </w:r>
      <w:proofErr w:type="spellEnd"/>
      <w:r w:rsidR="00FF5C30">
        <w:rPr>
          <w:lang w:val="en-US"/>
        </w:rPr>
        <w:t xml:space="preserve"> on conditional handover</w:t>
      </w:r>
      <w:r w:rsidR="000D01FE">
        <w:rPr>
          <w:lang w:val="en-US"/>
        </w:rPr>
        <w:t xml:space="preserve"> [2]</w:t>
      </w:r>
      <w:r>
        <w:rPr>
          <w:rFonts w:hint="eastAsia"/>
          <w:lang w:val="en-US"/>
        </w:rPr>
        <w:t>,</w:t>
      </w:r>
      <w:r>
        <w:rPr>
          <w:lang w:val="en-US"/>
        </w:rPr>
        <w:t xml:space="preserve"> </w:t>
      </w:r>
      <w:r w:rsidR="0059329E">
        <w:rPr>
          <w:lang w:val="en-US"/>
        </w:rPr>
        <w:t>l</w:t>
      </w:r>
      <w:r w:rsidR="0059329E" w:rsidRPr="0059329E">
        <w:rPr>
          <w:lang w:val="en-US"/>
        </w:rPr>
        <w:t>ocation based measurement event</w:t>
      </w:r>
      <w:r w:rsidR="0059329E">
        <w:rPr>
          <w:lang w:val="en-US"/>
        </w:rPr>
        <w:t xml:space="preserve"> can be configured </w:t>
      </w:r>
      <w:r w:rsidR="00ED4EA2" w:rsidRPr="00ED4EA2">
        <w:rPr>
          <w:lang w:val="en-US"/>
        </w:rPr>
        <w:t>according to</w:t>
      </w:r>
      <w:r w:rsidR="0059329E">
        <w:rPr>
          <w:lang w:val="en-US"/>
        </w:rPr>
        <w:t xml:space="preserve"> the distance </w:t>
      </w:r>
      <w:r w:rsidR="00ED4EA2">
        <w:rPr>
          <w:lang w:val="en-US"/>
        </w:rPr>
        <w:t xml:space="preserve">between UE and cell center and </w:t>
      </w:r>
      <w:r w:rsidR="00ED4EA2" w:rsidRPr="00ED4EA2">
        <w:rPr>
          <w:lang w:val="en-US"/>
        </w:rPr>
        <w:t>a geographical area scope referring to the cell coverage information</w:t>
      </w:r>
      <w:r w:rsidR="00290221">
        <w:rPr>
          <w:lang w:val="en-US"/>
        </w:rPr>
        <w:t xml:space="preserve">, </w:t>
      </w:r>
      <w:r w:rsidR="00ED4EA2">
        <w:rPr>
          <w:lang w:val="en-US"/>
        </w:rPr>
        <w:t xml:space="preserve">for regular </w:t>
      </w:r>
      <w:r w:rsidR="00ED4EA2">
        <w:rPr>
          <w:rFonts w:hint="eastAsia"/>
          <w:lang w:val="en-US"/>
        </w:rPr>
        <w:t>and</w:t>
      </w:r>
      <w:r w:rsidR="00ED4EA2">
        <w:rPr>
          <w:lang w:val="en-US"/>
        </w:rPr>
        <w:t xml:space="preserve"> </w:t>
      </w:r>
      <w:r w:rsidR="00290221">
        <w:rPr>
          <w:lang w:val="en-US"/>
        </w:rPr>
        <w:t>irregular cells</w:t>
      </w:r>
      <w:r w:rsidR="00ED4EA2">
        <w:rPr>
          <w:rFonts w:hint="eastAsia"/>
          <w:lang w:val="en-US"/>
        </w:rPr>
        <w:t>,</w:t>
      </w:r>
      <w:r w:rsidR="00ED4EA2">
        <w:rPr>
          <w:lang w:val="en-US"/>
        </w:rPr>
        <w:t xml:space="preserve"> </w:t>
      </w:r>
      <w:r w:rsidR="00ED4EA2" w:rsidRPr="00ED4EA2">
        <w:rPr>
          <w:lang w:val="en-US"/>
        </w:rPr>
        <w:t>respectively</w:t>
      </w:r>
      <w:r w:rsidR="00ED4EA2">
        <w:rPr>
          <w:rFonts w:hint="eastAsia"/>
          <w:lang w:val="en-US"/>
        </w:rPr>
        <w:t>.</w:t>
      </w:r>
    </w:p>
    <w:p w14:paraId="16FCFBFC" w14:textId="3025B94C" w:rsidR="00290221" w:rsidRPr="00CE3057" w:rsidRDefault="00290221" w:rsidP="00290221">
      <w:pPr>
        <w:rPr>
          <w:b/>
          <w:szCs w:val="22"/>
        </w:rPr>
      </w:pPr>
      <w:r>
        <w:rPr>
          <w:b/>
          <w:szCs w:val="22"/>
        </w:rPr>
        <w:t xml:space="preserve">Proposal </w:t>
      </w:r>
      <w:r w:rsidR="00BF18D1">
        <w:rPr>
          <w:b/>
          <w:szCs w:val="22"/>
        </w:rPr>
        <w:t>2</w:t>
      </w:r>
      <w:r>
        <w:rPr>
          <w:b/>
          <w:szCs w:val="22"/>
        </w:rPr>
        <w:t>: Location based measurement event can be configured based on t</w:t>
      </w:r>
      <w:r w:rsidRPr="007C563A">
        <w:rPr>
          <w:b/>
          <w:szCs w:val="22"/>
        </w:rPr>
        <w:t>he distance between UE and cell center</w:t>
      </w:r>
      <w:r>
        <w:rPr>
          <w:b/>
          <w:szCs w:val="22"/>
        </w:rPr>
        <w:t xml:space="preserve"> for satellite cells with regular shape</w:t>
      </w:r>
      <w:r>
        <w:rPr>
          <w:rFonts w:hint="eastAsia"/>
          <w:b/>
          <w:szCs w:val="22"/>
        </w:rPr>
        <w:t>.</w:t>
      </w:r>
    </w:p>
    <w:p w14:paraId="49A0CA52" w14:textId="6318215C" w:rsidR="00672BD6" w:rsidRDefault="00290221" w:rsidP="00DE2D2B">
      <w:pPr>
        <w:rPr>
          <w:b/>
          <w:szCs w:val="22"/>
        </w:rPr>
      </w:pPr>
      <w:r w:rsidRPr="007C563A">
        <w:rPr>
          <w:b/>
          <w:lang w:val="en-US"/>
        </w:rPr>
        <w:t xml:space="preserve">Proposal </w:t>
      </w:r>
      <w:r w:rsidR="00BF18D1">
        <w:rPr>
          <w:b/>
          <w:lang w:val="en-US"/>
        </w:rPr>
        <w:t>3</w:t>
      </w:r>
      <w:r w:rsidRPr="007C563A">
        <w:rPr>
          <w:b/>
          <w:lang w:val="en-US"/>
        </w:rPr>
        <w:t>:</w:t>
      </w:r>
      <w:r w:rsidRPr="007C563A">
        <w:rPr>
          <w:b/>
        </w:rPr>
        <w:t xml:space="preserve"> </w:t>
      </w:r>
      <w:r>
        <w:rPr>
          <w:b/>
          <w:szCs w:val="22"/>
        </w:rPr>
        <w:t xml:space="preserve">Location based measurement event can be configured </w:t>
      </w:r>
      <w:r w:rsidRPr="007C563A">
        <w:rPr>
          <w:b/>
          <w:lang w:val="en-US"/>
        </w:rPr>
        <w:t>based on</w:t>
      </w:r>
      <w:r w:rsidRPr="004C3A26">
        <w:t xml:space="preserve"> </w:t>
      </w:r>
      <w:r>
        <w:rPr>
          <w:b/>
        </w:rPr>
        <w:t>a</w:t>
      </w:r>
      <w:r w:rsidRPr="004C3A26">
        <w:rPr>
          <w:b/>
          <w:lang w:val="en-US"/>
        </w:rPr>
        <w:t xml:space="preserve"> geographical area scope referring to the cell coverage information</w:t>
      </w:r>
      <w:r>
        <w:rPr>
          <w:b/>
          <w:szCs w:val="22"/>
        </w:rPr>
        <w:t xml:space="preserve"> for </w:t>
      </w:r>
      <w:r w:rsidRPr="007C563A">
        <w:rPr>
          <w:b/>
          <w:lang w:val="en-US"/>
        </w:rPr>
        <w:t xml:space="preserve">satellite cells with </w:t>
      </w:r>
      <w:r>
        <w:rPr>
          <w:b/>
          <w:lang w:val="en-US"/>
        </w:rPr>
        <w:t>ir</w:t>
      </w:r>
      <w:r w:rsidRPr="007C563A">
        <w:rPr>
          <w:b/>
          <w:lang w:val="en-US"/>
        </w:rPr>
        <w:t>regular shape</w:t>
      </w:r>
      <w:r>
        <w:rPr>
          <w:rFonts w:hint="eastAsia"/>
          <w:b/>
          <w:szCs w:val="22"/>
        </w:rPr>
        <w:t>.</w:t>
      </w:r>
    </w:p>
    <w:p w14:paraId="21A3130A" w14:textId="77777777" w:rsidR="00814058" w:rsidRDefault="00814058" w:rsidP="001F03F0">
      <w:pPr>
        <w:pStyle w:val="2"/>
        <w:rPr>
          <w:lang w:val="en-US"/>
        </w:rPr>
      </w:pPr>
      <w:r>
        <w:rPr>
          <w:rFonts w:hint="eastAsia"/>
          <w:lang w:val="en-US"/>
        </w:rPr>
        <w:t>SMTC</w:t>
      </w:r>
      <w:r>
        <w:rPr>
          <w:lang w:val="en-US"/>
        </w:rPr>
        <w:t xml:space="preserve"> </w:t>
      </w:r>
      <w:r>
        <w:rPr>
          <w:rFonts w:hint="eastAsia"/>
          <w:lang w:val="en-US"/>
        </w:rPr>
        <w:t>and</w:t>
      </w:r>
      <w:r>
        <w:rPr>
          <w:lang w:val="en-US"/>
        </w:rPr>
        <w:t xml:space="preserve"> m</w:t>
      </w:r>
      <w:r>
        <w:rPr>
          <w:rFonts w:hint="eastAsia"/>
          <w:lang w:val="en-US"/>
        </w:rPr>
        <w:t>easurement</w:t>
      </w:r>
      <w:r>
        <w:rPr>
          <w:lang w:val="en-US"/>
        </w:rPr>
        <w:t xml:space="preserve"> </w:t>
      </w:r>
      <w:r>
        <w:rPr>
          <w:rFonts w:hint="eastAsia"/>
          <w:lang w:val="en-US"/>
        </w:rPr>
        <w:t>gap</w:t>
      </w:r>
      <w:r>
        <w:rPr>
          <w:lang w:val="en-US"/>
        </w:rPr>
        <w:t xml:space="preserve"> </w:t>
      </w:r>
      <w:r>
        <w:rPr>
          <w:rFonts w:hint="eastAsia"/>
          <w:lang w:val="en-US"/>
        </w:rPr>
        <w:t>enhancement</w:t>
      </w:r>
    </w:p>
    <w:p w14:paraId="081E2C05" w14:textId="77777777" w:rsidR="00814058" w:rsidRPr="00197735" w:rsidRDefault="00814058" w:rsidP="00814058">
      <w:pPr>
        <w:rPr>
          <w:lang w:val="en-US"/>
        </w:rPr>
      </w:pPr>
      <w:r>
        <w:rPr>
          <w:rFonts w:hint="eastAsia"/>
          <w:lang w:val="en-US"/>
        </w:rPr>
        <w:t>In</w:t>
      </w:r>
      <w:r>
        <w:rPr>
          <w:lang w:val="en-US"/>
        </w:rPr>
        <w:t xml:space="preserve"> TN, the propagation delay </w:t>
      </w:r>
      <w:r w:rsidRPr="0056104B">
        <w:rPr>
          <w:lang w:val="en-US"/>
        </w:rPr>
        <w:t>between</w:t>
      </w:r>
      <w:r>
        <w:rPr>
          <w:lang w:val="en-US"/>
        </w:rPr>
        <w:t xml:space="preserve"> UE and different </w:t>
      </w:r>
      <w:proofErr w:type="spellStart"/>
      <w:r>
        <w:rPr>
          <w:lang w:val="en-US"/>
        </w:rPr>
        <w:t>gNBs</w:t>
      </w:r>
      <w:proofErr w:type="spellEnd"/>
      <w:r>
        <w:rPr>
          <w:rFonts w:hint="eastAsia"/>
          <w:lang w:val="en-US"/>
        </w:rPr>
        <w:t xml:space="preserve"> </w:t>
      </w:r>
      <w:r>
        <w:rPr>
          <w:lang w:val="en-US"/>
        </w:rPr>
        <w:t>is little difference</w:t>
      </w:r>
      <w:r>
        <w:rPr>
          <w:rFonts w:hint="eastAsia"/>
          <w:lang w:val="en-US"/>
        </w:rPr>
        <w:t>.</w:t>
      </w:r>
      <w:r>
        <w:rPr>
          <w:lang w:val="en-US"/>
        </w:rPr>
        <w:t xml:space="preserve"> But, in NTN system, the p</w:t>
      </w:r>
      <w:r w:rsidRPr="00DF3D86">
        <w:rPr>
          <w:lang w:val="en-US"/>
        </w:rPr>
        <w:t>ropagation dela</w:t>
      </w:r>
      <w:r>
        <w:rPr>
          <w:lang w:val="en-US"/>
        </w:rPr>
        <w:t>y difference between serving cell and neighbor cells is quite larger than that in TN system</w:t>
      </w:r>
      <w:r>
        <w:rPr>
          <w:rFonts w:hint="eastAsia"/>
          <w:lang w:val="en-US"/>
        </w:rPr>
        <w:t>.</w:t>
      </w:r>
      <w:r>
        <w:rPr>
          <w:lang w:val="en-US"/>
        </w:rPr>
        <w:t xml:space="preserve"> </w:t>
      </w:r>
      <w:r>
        <w:rPr>
          <w:szCs w:val="22"/>
        </w:rPr>
        <w:t>As shown in Figure 1</w:t>
      </w:r>
      <w:r w:rsidRPr="00DA25CB">
        <w:rPr>
          <w:rFonts w:hint="eastAsia"/>
          <w:szCs w:val="22"/>
        </w:rPr>
        <w:t>,</w:t>
      </w:r>
      <w:r>
        <w:rPr>
          <w:szCs w:val="22"/>
        </w:rPr>
        <w:t xml:space="preserve"> </w:t>
      </w:r>
      <w:r w:rsidRPr="00E374CA">
        <w:rPr>
          <w:szCs w:val="22"/>
        </w:rPr>
        <w:t xml:space="preserve">Cell 1 is associated with satellite </w:t>
      </w:r>
      <w:r>
        <w:rPr>
          <w:szCs w:val="22"/>
        </w:rPr>
        <w:t>SA</w:t>
      </w:r>
      <w:r w:rsidRPr="00E374CA">
        <w:rPr>
          <w:szCs w:val="22"/>
        </w:rPr>
        <w:t>1 and</w:t>
      </w:r>
      <w:r>
        <w:rPr>
          <w:szCs w:val="22"/>
        </w:rPr>
        <w:t xml:space="preserve"> gateway</w:t>
      </w:r>
      <w:r w:rsidRPr="00E374CA">
        <w:rPr>
          <w:szCs w:val="22"/>
        </w:rPr>
        <w:t xml:space="preserve"> GW1</w:t>
      </w:r>
      <w:r>
        <w:rPr>
          <w:szCs w:val="22"/>
        </w:rPr>
        <w:t xml:space="preserve"> and Cell 2</w:t>
      </w:r>
      <w:r w:rsidRPr="00E374CA">
        <w:rPr>
          <w:szCs w:val="22"/>
        </w:rPr>
        <w:t xml:space="preserve"> is associated with satellite </w:t>
      </w:r>
      <w:r>
        <w:rPr>
          <w:szCs w:val="22"/>
        </w:rPr>
        <w:t>SA2</w:t>
      </w:r>
      <w:r w:rsidRPr="00E374CA">
        <w:rPr>
          <w:szCs w:val="22"/>
        </w:rPr>
        <w:t xml:space="preserve"> and</w:t>
      </w:r>
      <w:r>
        <w:rPr>
          <w:szCs w:val="22"/>
        </w:rPr>
        <w:t xml:space="preserve"> gateway GW2, and </w:t>
      </w:r>
      <w:r>
        <w:rPr>
          <w:rFonts w:hint="eastAsia"/>
          <w:szCs w:val="22"/>
        </w:rPr>
        <w:t>UE</w:t>
      </w:r>
      <w:r>
        <w:rPr>
          <w:szCs w:val="22"/>
        </w:rPr>
        <w:t xml:space="preserve"> </w:t>
      </w:r>
      <w:r>
        <w:rPr>
          <w:rFonts w:hint="eastAsia"/>
          <w:szCs w:val="22"/>
        </w:rPr>
        <w:t>in</w:t>
      </w:r>
      <w:r>
        <w:rPr>
          <w:szCs w:val="22"/>
        </w:rPr>
        <w:t xml:space="preserve"> </w:t>
      </w:r>
      <w:r w:rsidRPr="00546F93">
        <w:rPr>
          <w:szCs w:val="22"/>
        </w:rPr>
        <w:t>the coverage overlapping area</w:t>
      </w:r>
      <w:r>
        <w:rPr>
          <w:szCs w:val="22"/>
        </w:rPr>
        <w:t xml:space="preserve"> of </w:t>
      </w:r>
      <w:r>
        <w:rPr>
          <w:rFonts w:hint="eastAsia"/>
          <w:szCs w:val="22"/>
        </w:rPr>
        <w:t>Cell</w:t>
      </w:r>
      <w:r>
        <w:rPr>
          <w:szCs w:val="22"/>
        </w:rPr>
        <w:t xml:space="preserve"> 1 (</w:t>
      </w:r>
      <w:r>
        <w:rPr>
          <w:rFonts w:hint="eastAsia"/>
          <w:szCs w:val="22"/>
        </w:rPr>
        <w:t>serving</w:t>
      </w:r>
      <w:r>
        <w:rPr>
          <w:szCs w:val="22"/>
        </w:rPr>
        <w:t xml:space="preserve"> </w:t>
      </w:r>
      <w:r>
        <w:rPr>
          <w:rFonts w:hint="eastAsia"/>
          <w:szCs w:val="22"/>
        </w:rPr>
        <w:t>cell)</w:t>
      </w:r>
      <w:r>
        <w:rPr>
          <w:szCs w:val="22"/>
        </w:rPr>
        <w:t xml:space="preserve"> and Cell 2 (neighbour </w:t>
      </w:r>
      <w:r>
        <w:rPr>
          <w:rFonts w:hint="eastAsia"/>
          <w:szCs w:val="22"/>
        </w:rPr>
        <w:t>cell).</w:t>
      </w:r>
      <w:r>
        <w:rPr>
          <w:szCs w:val="22"/>
        </w:rPr>
        <w:t xml:space="preserve"> For </w:t>
      </w:r>
      <w:r>
        <w:rPr>
          <w:rFonts w:hint="eastAsia"/>
          <w:szCs w:val="22"/>
        </w:rPr>
        <w:t>transparent</w:t>
      </w:r>
      <w:r>
        <w:rPr>
          <w:szCs w:val="22"/>
        </w:rPr>
        <w:t xml:space="preserve"> </w:t>
      </w:r>
      <w:r>
        <w:rPr>
          <w:rFonts w:hint="eastAsia"/>
          <w:szCs w:val="22"/>
        </w:rPr>
        <w:t>payload</w:t>
      </w:r>
      <w:r>
        <w:rPr>
          <w:szCs w:val="22"/>
        </w:rPr>
        <w:t xml:space="preserve"> </w:t>
      </w:r>
      <w:r>
        <w:rPr>
          <w:rFonts w:hint="eastAsia"/>
          <w:szCs w:val="22"/>
        </w:rPr>
        <w:t>scenario,</w:t>
      </w:r>
      <w:r>
        <w:rPr>
          <w:szCs w:val="22"/>
        </w:rPr>
        <w:t xml:space="preserve"> the propagation delay is included two part: service link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1u</m:t>
            </m:r>
          </m:sub>
        </m:sSub>
      </m:oMath>
      <w:proofErr w:type="gramStart"/>
      <w:r>
        <w:rPr>
          <w:rFonts w:hint="eastAsia"/>
          <w:szCs w:val="22"/>
        </w:rPr>
        <w:t>,</w:t>
      </w:r>
      <w:r>
        <w:rPr>
          <w:szCs w:val="22"/>
        </w:rPr>
        <w:t xml:space="preserve"> </w:t>
      </w:r>
      <w:proofErr w:type="gramEnd"/>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2u</m:t>
            </m:r>
          </m:sub>
        </m:sSub>
      </m:oMath>
      <w:r>
        <w:rPr>
          <w:rFonts w:hint="eastAsia"/>
          <w:szCs w:val="22"/>
        </w:rPr>
        <w:t>)</w:t>
      </w:r>
      <w:r>
        <w:rPr>
          <w:szCs w:val="22"/>
        </w:rPr>
        <w:t xml:space="preserve"> delay and feeder link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1g</m:t>
            </m:r>
          </m:sub>
        </m:sSub>
      </m:oMath>
      <w:r>
        <w:rPr>
          <w:szCs w:val="22"/>
        </w:rPr>
        <w:t xml:space="preserve">,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2g</m:t>
            </m:r>
          </m:sub>
        </m:sSub>
      </m:oMath>
      <w:r>
        <w:rPr>
          <w:rFonts w:hint="eastAsia"/>
          <w:szCs w:val="22"/>
        </w:rPr>
        <w:t>)</w:t>
      </w:r>
      <w:r>
        <w:rPr>
          <w:szCs w:val="22"/>
        </w:rPr>
        <w:t xml:space="preserve"> delay</w:t>
      </w:r>
      <w:r>
        <w:rPr>
          <w:rFonts w:hint="eastAsia"/>
          <w:szCs w:val="22"/>
        </w:rPr>
        <w:t>.</w:t>
      </w:r>
      <w:r>
        <w:rPr>
          <w:szCs w:val="22"/>
        </w:rPr>
        <w:t xml:space="preserve"> </w:t>
      </w:r>
      <w:r w:rsidRPr="000E4A61">
        <w:rPr>
          <w:szCs w:val="22"/>
        </w:rPr>
        <w:t>The path lengths</w:t>
      </w:r>
      <w:r>
        <w:rPr>
          <w:szCs w:val="22"/>
        </w:rPr>
        <w:t xml:space="preserve"> between GW1 and GW2 to UE are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1</m:t>
            </m:r>
          </m:sub>
        </m:sSub>
        <m:r>
          <w:rPr>
            <w:rFonts w:ascii="Cambria Math" w:hAnsi="Cambria Math"/>
            <w:szCs w:val="22"/>
          </w:rPr>
          <m:t>=</m:t>
        </m:r>
        <m:sSub>
          <m:sSubPr>
            <m:ctrlPr>
              <w:rPr>
                <w:rFonts w:ascii="Cambria Math" w:hAnsi="Cambria Math"/>
                <w:szCs w:val="22"/>
              </w:rPr>
            </m:ctrlPr>
          </m:sSubPr>
          <m:e>
            <m:r>
              <w:rPr>
                <w:rFonts w:ascii="Cambria Math" w:hAnsi="Cambria Math"/>
                <w:szCs w:val="22"/>
              </w:rPr>
              <m:t>L</m:t>
            </m:r>
          </m:e>
          <m:sub>
            <m:r>
              <w:rPr>
                <w:rFonts w:ascii="Cambria Math" w:hAnsi="Cambria Math"/>
                <w:szCs w:val="22"/>
              </w:rPr>
              <m:t>1u</m:t>
            </m:r>
          </m:sub>
        </m:sSub>
        <m:r>
          <w:rPr>
            <w:rFonts w:ascii="Cambria Math" w:hAnsi="Cambria Math"/>
            <w:szCs w:val="22"/>
          </w:rPr>
          <m:t>+</m:t>
        </m:r>
        <m:sSub>
          <m:sSubPr>
            <m:ctrlPr>
              <w:rPr>
                <w:rFonts w:ascii="Cambria Math" w:hAnsi="Cambria Math"/>
                <w:szCs w:val="22"/>
              </w:rPr>
            </m:ctrlPr>
          </m:sSubPr>
          <m:e>
            <m:r>
              <w:rPr>
                <w:rFonts w:ascii="Cambria Math" w:hAnsi="Cambria Math"/>
                <w:szCs w:val="22"/>
              </w:rPr>
              <m:t>L</m:t>
            </m:r>
          </m:e>
          <m:sub>
            <m:r>
              <w:rPr>
                <w:rFonts w:ascii="Cambria Math" w:hAnsi="Cambria Math"/>
                <w:szCs w:val="22"/>
              </w:rPr>
              <m:t>1g</m:t>
            </m:r>
          </m:sub>
        </m:sSub>
      </m:oMath>
      <w:r>
        <w:rPr>
          <w:rFonts w:hint="eastAsia"/>
          <w:szCs w:val="22"/>
        </w:rPr>
        <w:t xml:space="preserve"> </w:t>
      </w:r>
      <w:r>
        <w:rPr>
          <w:szCs w:val="22"/>
        </w:rPr>
        <w:t xml:space="preserve">and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2</m:t>
            </m:r>
          </m:sub>
        </m:sSub>
        <m:r>
          <w:rPr>
            <w:rFonts w:ascii="Cambria Math" w:hAnsi="Cambria Math"/>
            <w:szCs w:val="22"/>
          </w:rPr>
          <m:t>=</m:t>
        </m:r>
        <m:sSub>
          <m:sSubPr>
            <m:ctrlPr>
              <w:rPr>
                <w:rFonts w:ascii="Cambria Math" w:hAnsi="Cambria Math"/>
                <w:szCs w:val="22"/>
              </w:rPr>
            </m:ctrlPr>
          </m:sSubPr>
          <m:e>
            <m:r>
              <w:rPr>
                <w:rFonts w:ascii="Cambria Math" w:hAnsi="Cambria Math"/>
                <w:szCs w:val="22"/>
              </w:rPr>
              <m:t>L</m:t>
            </m:r>
          </m:e>
          <m:sub>
            <m:r>
              <w:rPr>
                <w:rFonts w:ascii="Cambria Math" w:hAnsi="Cambria Math"/>
                <w:szCs w:val="22"/>
              </w:rPr>
              <m:t>2u</m:t>
            </m:r>
          </m:sub>
        </m:sSub>
        <m:r>
          <w:rPr>
            <w:rFonts w:ascii="Cambria Math" w:hAnsi="Cambria Math"/>
            <w:szCs w:val="22"/>
          </w:rPr>
          <m:t>+</m:t>
        </m:r>
        <m:sSub>
          <m:sSubPr>
            <m:ctrlPr>
              <w:rPr>
                <w:rFonts w:ascii="Cambria Math" w:hAnsi="Cambria Math"/>
                <w:szCs w:val="22"/>
              </w:rPr>
            </m:ctrlPr>
          </m:sSubPr>
          <m:e>
            <m:r>
              <w:rPr>
                <w:rFonts w:ascii="Cambria Math" w:hAnsi="Cambria Math"/>
                <w:szCs w:val="22"/>
              </w:rPr>
              <m:t>L</m:t>
            </m:r>
          </m:e>
          <m:sub>
            <m:r>
              <w:rPr>
                <w:rFonts w:ascii="Cambria Math" w:hAnsi="Cambria Math"/>
                <w:szCs w:val="22"/>
              </w:rPr>
              <m:t>2g</m:t>
            </m:r>
          </m:sub>
        </m:sSub>
      </m:oMath>
      <w:r>
        <w:rPr>
          <w:szCs w:val="22"/>
        </w:rPr>
        <w:t xml:space="preserve"> </w:t>
      </w:r>
      <w:r w:rsidRPr="000E4A61">
        <w:rPr>
          <w:szCs w:val="22"/>
        </w:rPr>
        <w:t>respectively</w:t>
      </w:r>
      <w:r>
        <w:rPr>
          <w:szCs w:val="22"/>
        </w:rPr>
        <w:t xml:space="preserve">, and the length difference between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1</m:t>
            </m:r>
          </m:sub>
        </m:sSub>
      </m:oMath>
      <w:r>
        <w:rPr>
          <w:rFonts w:hint="eastAsia"/>
          <w:szCs w:val="22"/>
        </w:rPr>
        <w:t xml:space="preserve"> </w:t>
      </w:r>
      <w:r>
        <w:rPr>
          <w:szCs w:val="22"/>
        </w:rPr>
        <w:t xml:space="preserve">and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2</m:t>
            </m:r>
          </m:sub>
        </m:sSub>
      </m:oMath>
      <w:r>
        <w:rPr>
          <w:rFonts w:hint="eastAsia"/>
          <w:szCs w:val="22"/>
        </w:rPr>
        <w:t xml:space="preserve"> </w:t>
      </w:r>
      <w:r>
        <w:rPr>
          <w:szCs w:val="22"/>
        </w:rPr>
        <w:t>may be quite large</w:t>
      </w:r>
      <w:r>
        <w:rPr>
          <w:rFonts w:hint="eastAsia"/>
          <w:szCs w:val="22"/>
        </w:rPr>
        <w:t>.</w:t>
      </w:r>
      <w:r>
        <w:rPr>
          <w:szCs w:val="22"/>
        </w:rPr>
        <w:t xml:space="preserve"> So, </w:t>
      </w:r>
      <w:r w:rsidRPr="006271C2">
        <w:rPr>
          <w:szCs w:val="22"/>
        </w:rPr>
        <w:t>the propagation delay</w:t>
      </w:r>
      <w:r>
        <w:rPr>
          <w:szCs w:val="22"/>
        </w:rPr>
        <w:t xml:space="preserve"> difference between </w:t>
      </w:r>
      <w:r>
        <w:rPr>
          <w:rFonts w:hint="eastAsia"/>
          <w:szCs w:val="22"/>
        </w:rPr>
        <w:t>the</w:t>
      </w:r>
      <w:r>
        <w:rPr>
          <w:szCs w:val="22"/>
        </w:rPr>
        <w:t xml:space="preserve"> serving cell</w:t>
      </w:r>
      <w:r w:rsidRPr="006271C2">
        <w:rPr>
          <w:szCs w:val="22"/>
        </w:rPr>
        <w:t xml:space="preserve"> and </w:t>
      </w:r>
      <w:r>
        <w:rPr>
          <w:rFonts w:hint="eastAsia"/>
          <w:szCs w:val="22"/>
        </w:rPr>
        <w:t>the</w:t>
      </w:r>
      <w:r>
        <w:rPr>
          <w:szCs w:val="22"/>
        </w:rPr>
        <w:t xml:space="preserve"> </w:t>
      </w:r>
      <w:r w:rsidRPr="006271C2">
        <w:rPr>
          <w:szCs w:val="22"/>
        </w:rPr>
        <w:t>neighbour</w:t>
      </w:r>
      <w:r>
        <w:rPr>
          <w:szCs w:val="22"/>
        </w:rPr>
        <w:t xml:space="preserve"> cell may be </w:t>
      </w:r>
      <w:r w:rsidRPr="006271C2">
        <w:rPr>
          <w:szCs w:val="22"/>
        </w:rPr>
        <w:t>quite larger</w:t>
      </w:r>
      <w:r>
        <w:rPr>
          <w:szCs w:val="22"/>
        </w:rPr>
        <w:t xml:space="preserve"> than the length of SMTC window</w:t>
      </w:r>
      <w:r>
        <w:rPr>
          <w:rFonts w:hint="eastAsia"/>
          <w:szCs w:val="22"/>
        </w:rPr>
        <w:t>/</w:t>
      </w:r>
      <w:r>
        <w:rPr>
          <w:szCs w:val="22"/>
        </w:rPr>
        <w:t xml:space="preserve"> measurement gap</w:t>
      </w:r>
      <w:r>
        <w:rPr>
          <w:rFonts w:hint="eastAsia"/>
          <w:szCs w:val="22"/>
        </w:rPr>
        <w:t>.</w:t>
      </w:r>
    </w:p>
    <w:p w14:paraId="088B76F0" w14:textId="77777777" w:rsidR="00814058" w:rsidRDefault="00814058" w:rsidP="00814058">
      <w:pPr>
        <w:jc w:val="center"/>
      </w:pPr>
      <w:r>
        <w:object w:dxaOrig="8260" w:dyaOrig="8140" w14:anchorId="451A6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05pt;height:178.95pt" o:ole="">
            <v:imagedata r:id="rId8" o:title=""/>
          </v:shape>
          <o:OLEObject Type="Embed" ProgID="Visio.Drawing.15" ShapeID="_x0000_i1025" DrawAspect="Content" ObjectID="_1678866663" r:id="rId9"/>
        </w:object>
      </w:r>
    </w:p>
    <w:p w14:paraId="695E94B9" w14:textId="77777777" w:rsidR="00814058" w:rsidRDefault="00814058" w:rsidP="00814058">
      <w:pPr>
        <w:pStyle w:val="af"/>
        <w:jc w:val="center"/>
        <w:rPr>
          <w:rFonts w:eastAsia="等线"/>
          <w:b/>
          <w:lang w:val="en-GB" w:eastAsia="zh-CN"/>
        </w:rPr>
      </w:pPr>
      <w:r w:rsidRPr="00E8191D">
        <w:rPr>
          <w:rFonts w:eastAsia="等线" w:hint="eastAsia"/>
          <w:b/>
          <w:lang w:eastAsia="zh-CN"/>
        </w:rPr>
        <w:t>Figure</w:t>
      </w:r>
      <w:r>
        <w:rPr>
          <w:rFonts w:eastAsia="等线"/>
          <w:b/>
          <w:lang w:eastAsia="zh-CN"/>
        </w:rPr>
        <w:t xml:space="preserve"> 1</w:t>
      </w:r>
      <w:r w:rsidRPr="00E8191D">
        <w:rPr>
          <w:rFonts w:eastAsia="等线" w:hint="eastAsia"/>
          <w:b/>
          <w:lang w:eastAsia="zh-CN"/>
        </w:rPr>
        <w:t xml:space="preserve"> </w:t>
      </w:r>
      <w:r w:rsidRPr="006C13AD">
        <w:rPr>
          <w:rFonts w:eastAsia="等线"/>
          <w:b/>
          <w:lang w:val="en-GB" w:eastAsia="zh-CN"/>
        </w:rPr>
        <w:t xml:space="preserve">the propagation delay difference between </w:t>
      </w:r>
      <w:r>
        <w:rPr>
          <w:rFonts w:eastAsia="等线"/>
          <w:b/>
          <w:lang w:val="en-GB" w:eastAsia="zh-CN"/>
        </w:rPr>
        <w:t xml:space="preserve">two cells </w:t>
      </w:r>
    </w:p>
    <w:p w14:paraId="23EE1A35" w14:textId="77777777" w:rsidR="00C17E79" w:rsidRDefault="00814058" w:rsidP="0086676A">
      <w:pPr>
        <w:rPr>
          <w:lang w:val="en-US"/>
        </w:rPr>
      </w:pPr>
      <w:r>
        <w:rPr>
          <w:lang w:val="en-US"/>
        </w:rPr>
        <w:t>If the SMTC</w:t>
      </w:r>
      <w:r>
        <w:rPr>
          <w:rFonts w:hint="eastAsia"/>
          <w:lang w:val="en-US"/>
        </w:rPr>
        <w:t>/</w:t>
      </w:r>
      <w:r>
        <w:rPr>
          <w:lang w:val="en-US"/>
        </w:rPr>
        <w:t xml:space="preserve">Measurement gap configuration did not consider the </w:t>
      </w:r>
      <w:r w:rsidRPr="00E52037">
        <w:rPr>
          <w:lang w:val="en-US"/>
        </w:rPr>
        <w:t>propagation delay difference between the ser</w:t>
      </w:r>
      <w:r>
        <w:rPr>
          <w:lang w:val="en-US"/>
        </w:rPr>
        <w:t xml:space="preserve">ving cell and neighbor cells, UE may miss the SSB </w:t>
      </w:r>
      <w:r>
        <w:rPr>
          <w:rFonts w:hint="eastAsia"/>
          <w:lang w:val="en-US"/>
        </w:rPr>
        <w:t>burst</w:t>
      </w:r>
      <w:r>
        <w:rPr>
          <w:lang w:val="en-US"/>
        </w:rPr>
        <w:t xml:space="preserve"> signal generated by </w:t>
      </w:r>
      <w:r w:rsidRPr="006271C2">
        <w:rPr>
          <w:szCs w:val="22"/>
        </w:rPr>
        <w:t>neighbour</w:t>
      </w:r>
      <w:r>
        <w:rPr>
          <w:szCs w:val="22"/>
        </w:rPr>
        <w:t xml:space="preserve"> cells</w:t>
      </w:r>
      <w:r>
        <w:rPr>
          <w:lang w:val="en-US"/>
        </w:rPr>
        <w:t xml:space="preserve"> with high </w:t>
      </w:r>
      <w:r w:rsidRPr="00312C83">
        <w:rPr>
          <w:lang w:val="en-US"/>
        </w:rPr>
        <w:t>possibility</w:t>
      </w:r>
      <w:r>
        <w:rPr>
          <w:rFonts w:hint="eastAsia"/>
          <w:lang w:val="en-US"/>
        </w:rPr>
        <w:t>.</w:t>
      </w:r>
      <w:r>
        <w:rPr>
          <w:lang w:val="en-US"/>
        </w:rPr>
        <w:t xml:space="preserve"> The issue has been captured</w:t>
      </w:r>
      <w:r w:rsidR="00344E20">
        <w:rPr>
          <w:lang w:val="en-US"/>
        </w:rPr>
        <w:t xml:space="preserve"> in the email discussion of Post113-e [3]</w:t>
      </w:r>
      <w:r w:rsidR="00344E20">
        <w:rPr>
          <w:rFonts w:hint="eastAsia"/>
          <w:lang w:val="en-US"/>
        </w:rPr>
        <w:t>.</w:t>
      </w:r>
    </w:p>
    <w:p w14:paraId="3AF0C5A3" w14:textId="2C090AB1" w:rsidR="00CD5058" w:rsidRDefault="00A9006D" w:rsidP="00814058">
      <w:r w:rsidRPr="00E40CD4">
        <w:rPr>
          <w:rFonts w:hint="eastAsia"/>
          <w:lang w:val="en-US"/>
        </w:rPr>
        <w:t>T</w:t>
      </w:r>
      <w:r w:rsidRPr="00E40CD4">
        <w:rPr>
          <w:lang w:val="en-US"/>
        </w:rPr>
        <w:t xml:space="preserve">o solve this </w:t>
      </w:r>
      <w:r>
        <w:rPr>
          <w:lang w:val="en-US"/>
        </w:rPr>
        <w:t>issu</w:t>
      </w:r>
      <w:r>
        <w:rPr>
          <w:rFonts w:hint="eastAsia"/>
          <w:lang w:val="en-US"/>
        </w:rPr>
        <w:t>e</w:t>
      </w:r>
      <w:r>
        <w:rPr>
          <w:lang w:val="en-US"/>
        </w:rPr>
        <w:t>, some</w:t>
      </w:r>
      <w:r w:rsidRPr="00E40CD4">
        <w:rPr>
          <w:lang w:val="en-US"/>
        </w:rPr>
        <w:t xml:space="preserve"> potential solutions</w:t>
      </w:r>
      <w:r>
        <w:rPr>
          <w:lang w:val="en-US"/>
        </w:rPr>
        <w:t xml:space="preserve"> for SMTC</w:t>
      </w:r>
      <w:r>
        <w:rPr>
          <w:rFonts w:hint="eastAsia"/>
          <w:lang w:val="en-US"/>
        </w:rPr>
        <w:t>/</w:t>
      </w:r>
      <w:r>
        <w:rPr>
          <w:lang w:val="en-US"/>
        </w:rPr>
        <w:t>measurement gap</w:t>
      </w:r>
      <w:r w:rsidRPr="00E40CD4">
        <w:rPr>
          <w:lang w:val="en-US"/>
        </w:rPr>
        <w:t xml:space="preserve"> </w:t>
      </w:r>
      <w:r>
        <w:rPr>
          <w:lang w:val="en-US"/>
        </w:rPr>
        <w:t xml:space="preserve">configuration </w:t>
      </w:r>
      <w:r w:rsidRPr="00E40CD4">
        <w:rPr>
          <w:lang w:val="en-US"/>
        </w:rPr>
        <w:t xml:space="preserve">are considered in </w:t>
      </w:r>
      <w:r>
        <w:rPr>
          <w:lang w:val="en-US"/>
        </w:rPr>
        <w:t xml:space="preserve">the email discussion. </w:t>
      </w:r>
      <w:r w:rsidR="0086676A">
        <w:rPr>
          <w:rFonts w:hint="eastAsia"/>
        </w:rPr>
        <w:t xml:space="preserve">In </w:t>
      </w:r>
      <w:r w:rsidR="0086676A">
        <w:t>[3]</w:t>
      </w:r>
      <w:r w:rsidR="0086676A">
        <w:rPr>
          <w:rFonts w:hint="eastAsia"/>
        </w:rPr>
        <w:t>,</w:t>
      </w:r>
      <w:r w:rsidR="0086676A">
        <w:t xml:space="preserve"> </w:t>
      </w:r>
      <w:r>
        <w:t xml:space="preserve">most </w:t>
      </w:r>
      <w:r w:rsidRPr="00A9006D">
        <w:t>companies</w:t>
      </w:r>
      <w:r w:rsidR="0086676A">
        <w:t xml:space="preserve"> support enhancements of SMTC/measurement gap configuration</w:t>
      </w:r>
      <w:r w:rsidR="00CE5599">
        <w:t xml:space="preserve">. For SMTC configuration, </w:t>
      </w:r>
      <w:r w:rsidRPr="00A9006D">
        <w:t>majority</w:t>
      </w:r>
      <w:r w:rsidR="00CE5599">
        <w:t xml:space="preserve"> prefer</w:t>
      </w:r>
      <w:r w:rsidR="00CE5599">
        <w:rPr>
          <w:bCs/>
          <w:noProof/>
        </w:rPr>
        <w:t xml:space="preserve"> using</w:t>
      </w:r>
      <w:r w:rsidR="00CE5599" w:rsidRPr="00E608F1">
        <w:rPr>
          <w:bCs/>
          <w:noProof/>
        </w:rPr>
        <w:t xml:space="preserve"> one or more SMTC configuration(s) with one or more offset(s) associated to each SMTC configuration in order to account for the different propagation delays</w:t>
      </w:r>
      <w:r w:rsidR="00CE5599">
        <w:rPr>
          <w:bCs/>
          <w:noProof/>
        </w:rPr>
        <w:t>. For measurement gap configuration</w:t>
      </w:r>
      <w:r>
        <w:t xml:space="preserve">, </w:t>
      </w:r>
      <w:r w:rsidRPr="00A9006D">
        <w:t>majority</w:t>
      </w:r>
      <w:r>
        <w:t xml:space="preserve"> </w:t>
      </w:r>
      <w:r w:rsidR="00847320">
        <w:t>support m</w:t>
      </w:r>
      <w:r w:rsidR="00847320" w:rsidRPr="00847320">
        <w:t>ultiple measurement gap patterns</w:t>
      </w:r>
      <w:r w:rsidR="00847320">
        <w:rPr>
          <w:rFonts w:hint="eastAsia"/>
        </w:rPr>
        <w:t>.</w:t>
      </w:r>
      <w:r w:rsidR="00CD5058">
        <w:t xml:space="preserve"> </w:t>
      </w:r>
      <w:r w:rsidR="00222BF6">
        <w:rPr>
          <w:rFonts w:hint="eastAsia"/>
        </w:rPr>
        <w:t>N</w:t>
      </w:r>
      <w:r w:rsidR="00867992">
        <w:t>etwork can configure m</w:t>
      </w:r>
      <w:r w:rsidR="000D6F9C">
        <w:rPr>
          <w:rFonts w:hint="eastAsia"/>
        </w:rPr>
        <w:t>u</w:t>
      </w:r>
      <w:r w:rsidR="00531450">
        <w:rPr>
          <w:rFonts w:hint="eastAsia"/>
        </w:rPr>
        <w:t>l</w:t>
      </w:r>
      <w:r w:rsidR="000D6F9C">
        <w:rPr>
          <w:rFonts w:hint="eastAsia"/>
        </w:rPr>
        <w:t>tiple</w:t>
      </w:r>
      <w:r w:rsidR="00531450">
        <w:t xml:space="preserve"> </w:t>
      </w:r>
      <w:r w:rsidR="00531450">
        <w:rPr>
          <w:rFonts w:hint="eastAsia"/>
        </w:rPr>
        <w:t>SMTC</w:t>
      </w:r>
      <w:r w:rsidR="00531450">
        <w:t>/measurement gap</w:t>
      </w:r>
      <w:r w:rsidR="00867992">
        <w:t xml:space="preserve"> </w:t>
      </w:r>
      <w:r w:rsidR="00531450">
        <w:t xml:space="preserve">for different neighbour satellites with different </w:t>
      </w:r>
      <w:r w:rsidR="00867992">
        <w:rPr>
          <w:lang w:val="en-US"/>
        </w:rPr>
        <w:t>propagation delay.</w:t>
      </w:r>
      <w:r w:rsidR="00867992">
        <w:t xml:space="preserve"> </w:t>
      </w:r>
    </w:p>
    <w:p w14:paraId="593EB515" w14:textId="28F58F37" w:rsidR="00814058" w:rsidRPr="00222BF6" w:rsidRDefault="00867992" w:rsidP="00814058">
      <w:pPr>
        <w:rPr>
          <w:lang w:val="en-US"/>
        </w:rPr>
      </w:pPr>
      <w:r>
        <w:t>But in the case, network</w:t>
      </w:r>
      <w:r w:rsidRPr="00867992">
        <w:t xml:space="preserve"> need accurate propagation delay difference between serving cell and </w:t>
      </w:r>
      <w:r w:rsidR="00C17E79" w:rsidRPr="00867992">
        <w:t>neighbour</w:t>
      </w:r>
      <w:r w:rsidRPr="00867992">
        <w:t xml:space="preserve"> cell</w:t>
      </w:r>
      <w:r w:rsidR="00053FB3">
        <w:t xml:space="preserve"> to (re)configure the </w:t>
      </w:r>
      <w:r w:rsidRPr="00867992">
        <w:t>SMTC/measurement gap</w:t>
      </w:r>
      <w:r w:rsidR="00053FB3">
        <w:t xml:space="preserve"> windows</w:t>
      </w:r>
      <w:r w:rsidR="00222BF6">
        <w:t xml:space="preserve">. </w:t>
      </w:r>
      <w:r w:rsidR="00814058">
        <w:rPr>
          <w:lang w:val="en-US"/>
        </w:rPr>
        <w:t xml:space="preserve">In </w:t>
      </w:r>
      <w:r w:rsidR="00814058">
        <w:rPr>
          <w:szCs w:val="22"/>
        </w:rPr>
        <w:t>RAN2#112</w:t>
      </w:r>
      <w:r w:rsidR="00814058" w:rsidRPr="00DA25CB">
        <w:rPr>
          <w:szCs w:val="22"/>
        </w:rPr>
        <w:t xml:space="preserve"> e-meeting</w:t>
      </w:r>
      <w:r w:rsidR="00814058">
        <w:rPr>
          <w:szCs w:val="22"/>
        </w:rPr>
        <w:t xml:space="preserve"> </w:t>
      </w:r>
      <w:r w:rsidR="00814058">
        <w:rPr>
          <w:rFonts w:hint="eastAsia"/>
          <w:szCs w:val="22"/>
        </w:rPr>
        <w:t>[</w:t>
      </w:r>
      <w:r w:rsidR="00814058">
        <w:rPr>
          <w:szCs w:val="22"/>
        </w:rPr>
        <w:t>1], “</w:t>
      </w:r>
      <w:r w:rsidR="00814058" w:rsidRPr="00B135E0">
        <w:rPr>
          <w:szCs w:val="22"/>
        </w:rPr>
        <w:t>RAN2 can’t assume that the network will always have UE accurate location info for SMTC window configuration in NTN</w:t>
      </w:r>
      <w:r w:rsidR="00814058">
        <w:rPr>
          <w:szCs w:val="22"/>
        </w:rPr>
        <w:t>” has been agreed</w:t>
      </w:r>
      <w:r w:rsidR="00814058">
        <w:rPr>
          <w:rFonts w:hint="eastAsia"/>
          <w:szCs w:val="22"/>
        </w:rPr>
        <w:t>.</w:t>
      </w:r>
      <w:r w:rsidR="000D6F9C">
        <w:rPr>
          <w:szCs w:val="22"/>
        </w:rPr>
        <w:t xml:space="preserve"> So</w:t>
      </w:r>
      <w:r w:rsidR="00814058">
        <w:rPr>
          <w:rFonts w:hint="eastAsia"/>
          <w:szCs w:val="22"/>
        </w:rPr>
        <w:t>,</w:t>
      </w:r>
      <w:r w:rsidR="00053FB3">
        <w:rPr>
          <w:szCs w:val="22"/>
        </w:rPr>
        <w:t xml:space="preserve"> network</w:t>
      </w:r>
      <w:r w:rsidR="00814058" w:rsidRPr="00017AC5">
        <w:rPr>
          <w:szCs w:val="22"/>
        </w:rPr>
        <w:t xml:space="preserve"> cannot obtain the accurate</w:t>
      </w:r>
      <w:r w:rsidR="00814058" w:rsidRPr="008C761B">
        <w:rPr>
          <w:lang w:val="en-US"/>
        </w:rPr>
        <w:t xml:space="preserve"> </w:t>
      </w:r>
      <w:r w:rsidR="00814058" w:rsidRPr="007B04C9">
        <w:rPr>
          <w:lang w:val="en-US"/>
        </w:rPr>
        <w:t>propagation delay difference</w:t>
      </w:r>
      <w:r w:rsidR="00814058" w:rsidRPr="00017AC5">
        <w:rPr>
          <w:szCs w:val="22"/>
        </w:rPr>
        <w:t xml:space="preserve"> based on the UE loc</w:t>
      </w:r>
      <w:r w:rsidR="00814058">
        <w:rPr>
          <w:szCs w:val="22"/>
        </w:rPr>
        <w:t>ation information, but it can be obtained by UE report</w:t>
      </w:r>
      <w:r w:rsidR="00814058">
        <w:rPr>
          <w:rFonts w:hint="eastAsia"/>
          <w:szCs w:val="22"/>
        </w:rPr>
        <w:t>,</w:t>
      </w:r>
      <w:r w:rsidR="00814058">
        <w:rPr>
          <w:szCs w:val="22"/>
        </w:rPr>
        <w:t xml:space="preserve"> which will lead to h</w:t>
      </w:r>
      <w:r w:rsidR="00814058" w:rsidRPr="008C761B">
        <w:rPr>
          <w:szCs w:val="22"/>
        </w:rPr>
        <w:t>igh signalling overhead</w:t>
      </w:r>
      <w:r w:rsidR="00814058">
        <w:rPr>
          <w:rFonts w:hint="eastAsia"/>
          <w:szCs w:val="22"/>
        </w:rPr>
        <w:t>.</w:t>
      </w:r>
    </w:p>
    <w:p w14:paraId="55B5D2E6" w14:textId="77777777" w:rsidR="00814058" w:rsidRPr="00D21CC1" w:rsidRDefault="00814058" w:rsidP="00814058">
      <w:pPr>
        <w:rPr>
          <w:b/>
          <w:lang w:val="en-US"/>
        </w:rPr>
      </w:pPr>
      <w:r w:rsidRPr="00D21CC1">
        <w:rPr>
          <w:b/>
        </w:rPr>
        <w:t>Observation</w:t>
      </w:r>
      <w:r>
        <w:rPr>
          <w:b/>
        </w:rPr>
        <w:t xml:space="preserve"> 2</w:t>
      </w:r>
      <w:r w:rsidRPr="00D21CC1">
        <w:rPr>
          <w:b/>
        </w:rPr>
        <w:t>:</w:t>
      </w:r>
      <w:r w:rsidRPr="00D21CC1">
        <w:rPr>
          <w:b/>
          <w:lang w:val="en-US"/>
        </w:rPr>
        <w:t xml:space="preserve"> </w:t>
      </w:r>
      <w:r>
        <w:rPr>
          <w:b/>
          <w:lang w:val="en-US"/>
        </w:rPr>
        <w:t>Network requires t</w:t>
      </w:r>
      <w:r w:rsidRPr="00D21CC1">
        <w:rPr>
          <w:b/>
          <w:lang w:val="en-US"/>
        </w:rPr>
        <w:t>he propagation delay difference between serving cell and neighbor cells to update SMTC</w:t>
      </w:r>
      <w:r w:rsidRPr="00D21CC1">
        <w:rPr>
          <w:rFonts w:hint="eastAsia"/>
          <w:b/>
          <w:lang w:val="en-US"/>
        </w:rPr>
        <w:t>/</w:t>
      </w:r>
      <w:r w:rsidRPr="00D21CC1">
        <w:rPr>
          <w:b/>
          <w:lang w:val="en-US"/>
        </w:rPr>
        <w:t>measurement gap configuratio</w:t>
      </w:r>
      <w:r w:rsidRPr="00D21CC1">
        <w:rPr>
          <w:rFonts w:hint="eastAsia"/>
          <w:b/>
          <w:lang w:val="en-US"/>
        </w:rPr>
        <w:t>n</w:t>
      </w:r>
      <w:r w:rsidRPr="00D21CC1">
        <w:rPr>
          <w:b/>
          <w:lang w:val="en-US"/>
        </w:rPr>
        <w:t xml:space="preserve">. </w:t>
      </w:r>
    </w:p>
    <w:p w14:paraId="3B68AD74" w14:textId="77777777" w:rsidR="00814058" w:rsidRDefault="00814058" w:rsidP="00814058">
      <w:pPr>
        <w:rPr>
          <w:lang w:val="en-US"/>
        </w:rPr>
      </w:pPr>
      <w:r>
        <w:rPr>
          <w:rFonts w:hint="eastAsia"/>
          <w:lang w:val="en-US"/>
        </w:rPr>
        <w:t>C</w:t>
      </w:r>
      <w:r>
        <w:rPr>
          <w:lang w:val="en-US"/>
        </w:rPr>
        <w:t xml:space="preserve">onsidering </w:t>
      </w:r>
      <w:r w:rsidRPr="000C761C">
        <w:rPr>
          <w:lang w:val="en-US"/>
        </w:rPr>
        <w:t>security</w:t>
      </w:r>
      <w:r>
        <w:rPr>
          <w:lang w:val="en-US"/>
        </w:rPr>
        <w:t xml:space="preserve">, the location of GW </w:t>
      </w:r>
      <w:r w:rsidRPr="009D0DF0">
        <w:rPr>
          <w:lang w:val="en-US"/>
        </w:rPr>
        <w:t>is unknown to UE</w:t>
      </w:r>
      <w:r>
        <w:rPr>
          <w:lang w:val="en-US"/>
        </w:rPr>
        <w:t xml:space="preserve">, so </w:t>
      </w:r>
      <w:r w:rsidRPr="00C8337C">
        <w:rPr>
          <w:lang w:val="en-US"/>
        </w:rPr>
        <w:t>the propagation delay</w:t>
      </w:r>
      <w:r>
        <w:rPr>
          <w:lang w:val="en-US"/>
        </w:rPr>
        <w:t xml:space="preserve"> of feeder link (as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1g</m:t>
            </m:r>
          </m:sub>
        </m:sSub>
      </m:oMath>
      <w:r>
        <w:rPr>
          <w:rFonts w:hint="eastAsia"/>
          <w:szCs w:val="22"/>
        </w:rPr>
        <w:t xml:space="preserve"> </w:t>
      </w:r>
      <w:r>
        <w:rPr>
          <w:szCs w:val="22"/>
        </w:rPr>
        <w:t xml:space="preserve">and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2g</m:t>
            </m:r>
          </m:sub>
        </m:sSub>
      </m:oMath>
      <w:r>
        <w:rPr>
          <w:rFonts w:hint="eastAsia"/>
          <w:szCs w:val="22"/>
        </w:rPr>
        <w:t xml:space="preserve"> </w:t>
      </w:r>
      <w:r>
        <w:rPr>
          <w:szCs w:val="22"/>
        </w:rPr>
        <w:t>in figure 1)</w:t>
      </w:r>
      <w:r>
        <w:rPr>
          <w:lang w:val="en-US"/>
        </w:rPr>
        <w:t xml:space="preserve"> </w:t>
      </w:r>
      <w:r w:rsidRPr="009D0DF0">
        <w:rPr>
          <w:lang w:val="en-US"/>
        </w:rPr>
        <w:t>is unknown to UE</w:t>
      </w:r>
      <w:r>
        <w:rPr>
          <w:rFonts w:hint="eastAsia"/>
          <w:lang w:val="en-US"/>
        </w:rPr>
        <w:t>.</w:t>
      </w:r>
      <w:r>
        <w:rPr>
          <w:lang w:val="en-US"/>
        </w:rPr>
        <w:t xml:space="preserve"> Therefore, according to </w:t>
      </w:r>
      <w:r w:rsidRPr="00CA676C">
        <w:rPr>
          <w:lang w:val="en-US"/>
        </w:rPr>
        <w:t>UE location information and ephemeris</w:t>
      </w:r>
      <w:r>
        <w:rPr>
          <w:lang w:val="en-US"/>
        </w:rPr>
        <w:t xml:space="preserve"> information</w:t>
      </w:r>
      <w:r>
        <w:rPr>
          <w:rFonts w:hint="eastAsia"/>
          <w:lang w:val="en-US"/>
        </w:rPr>
        <w:t>,</w:t>
      </w:r>
      <w:r>
        <w:rPr>
          <w:lang w:val="en-US"/>
        </w:rPr>
        <w:t xml:space="preserve"> UE can only calculate the service link propagation delay difference</w:t>
      </w:r>
      <w:r>
        <w:rPr>
          <w:rFonts w:hint="eastAsia"/>
          <w:lang w:val="en-US"/>
        </w:rPr>
        <w:t>.</w:t>
      </w:r>
      <w:r>
        <w:rPr>
          <w:lang w:val="en-US"/>
        </w:rPr>
        <w:t xml:space="preserve"> The feeder link propagation delay difference can be acquired by network to assist </w:t>
      </w:r>
      <w:r w:rsidRPr="00037819">
        <w:rPr>
          <w:lang w:val="en-US"/>
        </w:rPr>
        <w:t>SMTC/measurement gap configuration.</w:t>
      </w:r>
    </w:p>
    <w:p w14:paraId="39D30432" w14:textId="77777777" w:rsidR="00814058" w:rsidRPr="00037819" w:rsidRDefault="00814058" w:rsidP="00814058">
      <w:pPr>
        <w:rPr>
          <w:b/>
          <w:lang w:val="en-US"/>
        </w:rPr>
      </w:pPr>
      <w:r w:rsidRPr="00037819">
        <w:rPr>
          <w:b/>
          <w:lang w:val="en-US"/>
        </w:rPr>
        <w:t>Observation</w:t>
      </w:r>
      <w:r>
        <w:rPr>
          <w:b/>
          <w:lang w:val="en-US"/>
        </w:rPr>
        <w:t xml:space="preserve"> 3</w:t>
      </w:r>
      <w:r w:rsidRPr="00037819">
        <w:rPr>
          <w:b/>
          <w:lang w:val="en-US"/>
        </w:rPr>
        <w:t>: The feeder link propagation delay difference can be acquired by network to assist SMTC/measurement gap configuration.</w:t>
      </w:r>
    </w:p>
    <w:p w14:paraId="6F54CFD2" w14:textId="5D99706C" w:rsidR="00814058" w:rsidRPr="00D21CC1" w:rsidRDefault="00814058" w:rsidP="00814058">
      <w:pPr>
        <w:rPr>
          <w:b/>
          <w:lang w:val="en-US"/>
        </w:rPr>
      </w:pPr>
      <w:r w:rsidRPr="00D21CC1">
        <w:rPr>
          <w:rFonts w:hint="eastAsia"/>
          <w:b/>
          <w:lang w:val="en-US"/>
        </w:rPr>
        <w:t>P</w:t>
      </w:r>
      <w:r>
        <w:rPr>
          <w:b/>
          <w:lang w:val="en-US"/>
        </w:rPr>
        <w:t>roposal</w:t>
      </w:r>
      <w:r w:rsidR="00AE4547">
        <w:rPr>
          <w:b/>
          <w:lang w:val="en-US"/>
        </w:rPr>
        <w:t xml:space="preserve"> 4</w:t>
      </w:r>
      <w:r w:rsidRPr="00D21CC1">
        <w:rPr>
          <w:b/>
          <w:lang w:val="en-US"/>
        </w:rPr>
        <w:t>: UE should report the</w:t>
      </w:r>
      <w:r>
        <w:rPr>
          <w:b/>
          <w:lang w:val="en-US"/>
        </w:rPr>
        <w:t xml:space="preserve"> service link</w:t>
      </w:r>
      <w:r w:rsidRPr="00D21CC1">
        <w:rPr>
          <w:b/>
          <w:lang w:val="en-US"/>
        </w:rPr>
        <w:t xml:space="preserve"> propagation delay difference between serving satellite and neighbor satellites to </w:t>
      </w:r>
      <w:r w:rsidRPr="00D21CC1">
        <w:rPr>
          <w:rFonts w:hint="eastAsia"/>
          <w:b/>
          <w:lang w:val="en-US"/>
        </w:rPr>
        <w:t>assist</w:t>
      </w:r>
      <w:r w:rsidRPr="00D21CC1">
        <w:rPr>
          <w:b/>
          <w:lang w:val="en-US"/>
        </w:rPr>
        <w:t xml:space="preserve"> SMTC</w:t>
      </w:r>
      <w:r w:rsidRPr="00D21CC1">
        <w:rPr>
          <w:rFonts w:hint="eastAsia"/>
          <w:b/>
          <w:lang w:val="en-US"/>
        </w:rPr>
        <w:t>/</w:t>
      </w:r>
      <w:r w:rsidRPr="00D21CC1">
        <w:rPr>
          <w:b/>
          <w:lang w:val="en-US"/>
        </w:rPr>
        <w:t>measurement gap configuratio</w:t>
      </w:r>
      <w:r w:rsidRPr="00D21CC1">
        <w:rPr>
          <w:rFonts w:hint="eastAsia"/>
          <w:b/>
          <w:lang w:val="en-US"/>
        </w:rPr>
        <w:t>n</w:t>
      </w:r>
      <w:r w:rsidRPr="00D21CC1">
        <w:rPr>
          <w:b/>
          <w:lang w:val="en-US"/>
        </w:rPr>
        <w:t>.</w:t>
      </w:r>
    </w:p>
    <w:p w14:paraId="23B5AD71" w14:textId="11BBFE71" w:rsidR="00814058" w:rsidRPr="00EC3DAB" w:rsidRDefault="00C17E79" w:rsidP="00814058">
      <w:pPr>
        <w:rPr>
          <w:lang w:val="en-US"/>
        </w:rPr>
      </w:pPr>
      <w:r>
        <w:rPr>
          <w:lang w:val="en-US"/>
        </w:rPr>
        <w:t>For the configuration of SMTC/measurement gap</w:t>
      </w:r>
      <w:r w:rsidR="00814058">
        <w:rPr>
          <w:lang w:val="en-US"/>
        </w:rPr>
        <w:t xml:space="preserve">, </w:t>
      </w:r>
      <w:r w:rsidR="00814058">
        <w:rPr>
          <w:rFonts w:hint="eastAsia"/>
          <w:lang w:val="en-US"/>
        </w:rPr>
        <w:t>UE</w:t>
      </w:r>
      <w:r w:rsidR="00814058">
        <w:rPr>
          <w:lang w:val="en-US"/>
        </w:rPr>
        <w:t xml:space="preserve"> </w:t>
      </w:r>
      <w:r w:rsidR="00814058">
        <w:rPr>
          <w:rFonts w:hint="eastAsia"/>
          <w:lang w:val="en-US"/>
        </w:rPr>
        <w:t>can</w:t>
      </w:r>
      <w:r w:rsidR="00814058">
        <w:rPr>
          <w:lang w:val="en-US"/>
        </w:rPr>
        <w:t xml:space="preserve"> </w:t>
      </w:r>
      <w:r w:rsidR="00814058">
        <w:rPr>
          <w:rFonts w:hint="eastAsia"/>
          <w:lang w:val="en-US"/>
        </w:rPr>
        <w:t>report</w:t>
      </w:r>
      <w:r w:rsidR="00814058">
        <w:rPr>
          <w:lang w:val="en-US"/>
        </w:rPr>
        <w:t xml:space="preserve"> </w:t>
      </w:r>
      <w:r w:rsidR="00814058">
        <w:rPr>
          <w:rFonts w:hint="eastAsia"/>
          <w:lang w:val="en-US"/>
        </w:rPr>
        <w:t>the</w:t>
      </w:r>
      <w:r w:rsidR="00814058">
        <w:rPr>
          <w:lang w:val="en-US"/>
        </w:rPr>
        <w:t xml:space="preserve"> </w:t>
      </w:r>
      <w:r w:rsidR="00814058">
        <w:rPr>
          <w:rFonts w:hint="eastAsia"/>
          <w:lang w:val="en-US"/>
        </w:rPr>
        <w:t>neighbor</w:t>
      </w:r>
      <w:r w:rsidR="00814058">
        <w:rPr>
          <w:lang w:val="en-US"/>
        </w:rPr>
        <w:t xml:space="preserve"> Cell ID or </w:t>
      </w:r>
      <w:r w:rsidR="00814058" w:rsidRPr="00DF3D86">
        <w:rPr>
          <w:lang w:val="en-US"/>
        </w:rPr>
        <w:t>the c</w:t>
      </w:r>
      <w:r w:rsidR="00814058">
        <w:rPr>
          <w:lang w:val="en-US"/>
        </w:rPr>
        <w:t>orresponding</w:t>
      </w:r>
      <w:r w:rsidR="00814058" w:rsidRPr="00DF3D86">
        <w:rPr>
          <w:lang w:val="en-US"/>
        </w:rPr>
        <w:t xml:space="preserve"> frequency</w:t>
      </w:r>
      <w:r w:rsidR="00814058">
        <w:rPr>
          <w:lang w:val="en-US"/>
        </w:rPr>
        <w:t xml:space="preserve"> whose SSB burst cannot be detected in NTN system</w:t>
      </w:r>
      <w:r w:rsidR="00814058">
        <w:rPr>
          <w:rFonts w:hint="eastAsia"/>
          <w:lang w:val="en-US"/>
        </w:rPr>
        <w:t>.</w:t>
      </w:r>
      <w:r w:rsidR="00814058">
        <w:rPr>
          <w:lang w:val="en-US"/>
        </w:rPr>
        <w:t xml:space="preserve"> According to </w:t>
      </w:r>
      <w:r w:rsidR="00814058" w:rsidRPr="006B36FB">
        <w:rPr>
          <w:lang w:val="en-US"/>
        </w:rPr>
        <w:t>the</w:t>
      </w:r>
      <w:r w:rsidR="00814058">
        <w:rPr>
          <w:lang w:val="en-US"/>
        </w:rPr>
        <w:t xml:space="preserve"> Cell ID or </w:t>
      </w:r>
      <w:r w:rsidR="00814058" w:rsidRPr="00DF3D86">
        <w:rPr>
          <w:lang w:val="en-US"/>
        </w:rPr>
        <w:t>the c</w:t>
      </w:r>
      <w:r w:rsidR="00814058">
        <w:rPr>
          <w:lang w:val="en-US"/>
        </w:rPr>
        <w:t>orresponding</w:t>
      </w:r>
      <w:r w:rsidR="00814058" w:rsidRPr="00DF3D86">
        <w:rPr>
          <w:lang w:val="en-US"/>
        </w:rPr>
        <w:t xml:space="preserve"> frequency</w:t>
      </w:r>
      <w:r w:rsidR="00814058" w:rsidRPr="006B36FB">
        <w:rPr>
          <w:lang w:val="en-US"/>
        </w:rPr>
        <w:t xml:space="preserve"> information reported</w:t>
      </w:r>
      <w:r w:rsidR="00814058">
        <w:rPr>
          <w:lang w:val="en-US"/>
        </w:rPr>
        <w:t xml:space="preserve"> by UE, e</w:t>
      </w:r>
      <w:r w:rsidR="00814058" w:rsidRPr="00311C57">
        <w:rPr>
          <w:lang w:val="en-US"/>
        </w:rPr>
        <w:t>ven if the propagation delay difference</w:t>
      </w:r>
      <w:r w:rsidR="00814058">
        <w:rPr>
          <w:lang w:val="en-US"/>
        </w:rPr>
        <w:t xml:space="preserve"> does vary a lot</w:t>
      </w:r>
      <w:r w:rsidR="00814058" w:rsidRPr="00311C57">
        <w:rPr>
          <w:lang w:val="en-US"/>
        </w:rPr>
        <w:t xml:space="preserve">, </w:t>
      </w:r>
      <w:r w:rsidR="00814058">
        <w:rPr>
          <w:lang w:val="en-US"/>
        </w:rPr>
        <w:t xml:space="preserve">network only need to update </w:t>
      </w:r>
      <w:r w:rsidR="00222BF6">
        <w:rPr>
          <w:lang w:val="en-US"/>
        </w:rPr>
        <w:t>the SMTC/</w:t>
      </w:r>
      <w:r w:rsidR="00222BF6">
        <w:rPr>
          <w:rFonts w:hint="eastAsia"/>
          <w:lang w:val="en-US"/>
        </w:rPr>
        <w:t>m</w:t>
      </w:r>
      <w:r w:rsidR="00814058" w:rsidRPr="00DF3D86">
        <w:rPr>
          <w:lang w:val="en-US"/>
        </w:rPr>
        <w:t>easur</w:t>
      </w:r>
      <w:r w:rsidR="00814058">
        <w:rPr>
          <w:lang w:val="en-US"/>
        </w:rPr>
        <w:t xml:space="preserve">ement </w:t>
      </w:r>
      <w:r w:rsidR="00222BF6">
        <w:rPr>
          <w:rFonts w:hint="eastAsia"/>
          <w:lang w:val="en-US"/>
        </w:rPr>
        <w:t>g</w:t>
      </w:r>
      <w:r w:rsidR="00814058">
        <w:rPr>
          <w:lang w:val="en-US"/>
        </w:rPr>
        <w:t>ap configuration of the</w:t>
      </w:r>
      <w:r w:rsidR="00814058" w:rsidRPr="00DF3D86">
        <w:rPr>
          <w:lang w:val="en-US"/>
        </w:rPr>
        <w:t xml:space="preserve"> cell or frequency</w:t>
      </w:r>
      <w:r w:rsidR="00814058">
        <w:rPr>
          <w:lang w:val="en-US"/>
        </w:rPr>
        <w:t xml:space="preserve"> and UE only need to </w:t>
      </w:r>
      <w:r w:rsidR="00814058" w:rsidRPr="00DF3D86">
        <w:rPr>
          <w:lang w:val="en-US"/>
        </w:rPr>
        <w:t xml:space="preserve">report </w:t>
      </w:r>
      <w:r w:rsidR="00814058">
        <w:rPr>
          <w:lang w:val="en-US"/>
        </w:rPr>
        <w:t xml:space="preserve">service link </w:t>
      </w:r>
      <w:r w:rsidR="00814058" w:rsidRPr="00DF3D86">
        <w:rPr>
          <w:lang w:val="en-US"/>
        </w:rPr>
        <w:t>propagation delay difference between serving and neighbor</w:t>
      </w:r>
      <w:r w:rsidR="00814058">
        <w:rPr>
          <w:lang w:val="en-US"/>
        </w:rPr>
        <w:t xml:space="preserve"> satellite of the cell or frequency t</w:t>
      </w:r>
      <w:r w:rsidR="00814058" w:rsidRPr="00EB4DA5">
        <w:rPr>
          <w:lang w:val="en-US"/>
        </w:rPr>
        <w:t>o reduce the frequen</w:t>
      </w:r>
      <w:r w:rsidR="00814058">
        <w:rPr>
          <w:lang w:val="en-US"/>
        </w:rPr>
        <w:t>cy of SMTC</w:t>
      </w:r>
      <w:r w:rsidR="00814058">
        <w:rPr>
          <w:rFonts w:hint="eastAsia"/>
          <w:lang w:val="en-US"/>
        </w:rPr>
        <w:t>/</w:t>
      </w:r>
      <w:r w:rsidR="00814058" w:rsidRPr="005C389C">
        <w:rPr>
          <w:lang w:val="en-US"/>
        </w:rPr>
        <w:t xml:space="preserve"> </w:t>
      </w:r>
      <w:r w:rsidR="00222BF6">
        <w:rPr>
          <w:lang w:val="en-US"/>
        </w:rPr>
        <w:t>measurement g</w:t>
      </w:r>
      <w:r w:rsidR="00814058" w:rsidRPr="00DF3D86">
        <w:rPr>
          <w:lang w:val="en-US"/>
        </w:rPr>
        <w:t>ap</w:t>
      </w:r>
      <w:r w:rsidR="00814058">
        <w:rPr>
          <w:lang w:val="en-US"/>
        </w:rPr>
        <w:t xml:space="preserve"> configuration update</w:t>
      </w:r>
      <w:r w:rsidR="00814058">
        <w:rPr>
          <w:rFonts w:hint="eastAsia"/>
          <w:lang w:val="en-US"/>
        </w:rPr>
        <w:t>s</w:t>
      </w:r>
      <w:r w:rsidR="00814058">
        <w:rPr>
          <w:lang w:val="en-US"/>
        </w:rPr>
        <w:t xml:space="preserve"> and </w:t>
      </w:r>
      <w:r w:rsidR="00814058" w:rsidRPr="008C761B">
        <w:rPr>
          <w:szCs w:val="22"/>
        </w:rPr>
        <w:t>signalling overhead</w:t>
      </w:r>
      <w:r w:rsidR="00814058">
        <w:rPr>
          <w:rFonts w:hint="eastAsia"/>
          <w:szCs w:val="22"/>
        </w:rPr>
        <w:t>.</w:t>
      </w:r>
    </w:p>
    <w:p w14:paraId="5D060343" w14:textId="0B687E1F" w:rsidR="00814058" w:rsidRPr="00C17E79" w:rsidRDefault="00814058" w:rsidP="00DE2D2B">
      <w:pPr>
        <w:rPr>
          <w:b/>
          <w:lang w:val="en-US"/>
        </w:rPr>
      </w:pPr>
      <w:r w:rsidRPr="001A5669">
        <w:rPr>
          <w:rFonts w:hint="eastAsia"/>
          <w:b/>
          <w:lang w:val="en-US"/>
        </w:rPr>
        <w:lastRenderedPageBreak/>
        <w:t>P</w:t>
      </w:r>
      <w:r w:rsidR="00AE4547">
        <w:rPr>
          <w:b/>
          <w:lang w:val="en-US"/>
        </w:rPr>
        <w:t>roposal 5</w:t>
      </w:r>
      <w:r w:rsidRPr="001A5669">
        <w:rPr>
          <w:b/>
          <w:lang w:val="en-US"/>
        </w:rPr>
        <w:t xml:space="preserve">: </w:t>
      </w:r>
      <w:bookmarkStart w:id="2" w:name="OLE_LINK17"/>
      <w:r>
        <w:rPr>
          <w:rFonts w:hint="eastAsia"/>
          <w:b/>
          <w:lang w:val="en-US"/>
        </w:rPr>
        <w:t>Based</w:t>
      </w:r>
      <w:r>
        <w:rPr>
          <w:b/>
          <w:lang w:val="en-US"/>
        </w:rPr>
        <w:t xml:space="preserve"> </w:t>
      </w:r>
      <w:r>
        <w:rPr>
          <w:rFonts w:hint="eastAsia"/>
          <w:b/>
          <w:lang w:val="en-US"/>
        </w:rPr>
        <w:t>on</w:t>
      </w:r>
      <w:r>
        <w:rPr>
          <w:b/>
          <w:lang w:val="en-US"/>
        </w:rPr>
        <w:t xml:space="preserve"> </w:t>
      </w:r>
      <w:r>
        <w:rPr>
          <w:rFonts w:hint="eastAsia"/>
          <w:b/>
          <w:lang w:val="en-US"/>
        </w:rPr>
        <w:t>the</w:t>
      </w:r>
      <w:r>
        <w:rPr>
          <w:b/>
          <w:lang w:val="en-US"/>
        </w:rPr>
        <w:t xml:space="preserve"> </w:t>
      </w:r>
      <w:r>
        <w:rPr>
          <w:rFonts w:hint="eastAsia"/>
          <w:b/>
          <w:lang w:val="en-US"/>
        </w:rPr>
        <w:t>report</w:t>
      </w:r>
      <w:r>
        <w:rPr>
          <w:b/>
          <w:lang w:val="en-US"/>
        </w:rPr>
        <w:t xml:space="preserve"> </w:t>
      </w:r>
      <w:r>
        <w:rPr>
          <w:rFonts w:hint="eastAsia"/>
          <w:b/>
          <w:lang w:val="en-US"/>
        </w:rPr>
        <w:t>from</w:t>
      </w:r>
      <w:r>
        <w:rPr>
          <w:b/>
          <w:lang w:val="en-US"/>
        </w:rPr>
        <w:t xml:space="preserve"> </w:t>
      </w:r>
      <w:r>
        <w:rPr>
          <w:rFonts w:hint="eastAsia"/>
          <w:b/>
          <w:lang w:val="en-US"/>
        </w:rPr>
        <w:t>UE</w:t>
      </w:r>
      <w:r>
        <w:rPr>
          <w:b/>
          <w:lang w:val="en-US"/>
        </w:rPr>
        <w:t xml:space="preserve"> </w:t>
      </w:r>
      <w:r>
        <w:rPr>
          <w:rFonts w:hint="eastAsia"/>
          <w:b/>
          <w:lang w:val="en-US"/>
        </w:rPr>
        <w:t>about</w:t>
      </w:r>
      <w:r>
        <w:rPr>
          <w:b/>
          <w:lang w:val="en-US"/>
        </w:rPr>
        <w:t xml:space="preserve"> </w:t>
      </w:r>
      <w:r>
        <w:rPr>
          <w:rFonts w:hint="eastAsia"/>
          <w:b/>
          <w:lang w:val="en-US"/>
        </w:rPr>
        <w:t>the</w:t>
      </w:r>
      <w:r w:rsidRPr="001A5669">
        <w:rPr>
          <w:b/>
          <w:lang w:val="en-US"/>
        </w:rPr>
        <w:t xml:space="preserve"> </w:t>
      </w:r>
      <w:r w:rsidRPr="001A5669">
        <w:rPr>
          <w:rFonts w:hint="eastAsia"/>
          <w:b/>
          <w:lang w:val="en-US"/>
        </w:rPr>
        <w:t>neighbor</w:t>
      </w:r>
      <w:r w:rsidRPr="001A5669">
        <w:rPr>
          <w:b/>
          <w:lang w:val="en-US"/>
        </w:rPr>
        <w:t xml:space="preserve"> Cell ID or the corresponding frequency whose SSB burst cannot be detecte</w:t>
      </w:r>
      <w:r>
        <w:rPr>
          <w:rFonts w:hint="eastAsia"/>
          <w:b/>
          <w:lang w:val="en-US"/>
        </w:rPr>
        <w:t>d</w:t>
      </w:r>
      <w:r>
        <w:rPr>
          <w:b/>
          <w:lang w:val="en-US"/>
        </w:rPr>
        <w:t xml:space="preserve">, </w:t>
      </w:r>
      <w:r>
        <w:rPr>
          <w:rFonts w:hint="eastAsia"/>
          <w:b/>
          <w:lang w:val="en-US"/>
        </w:rPr>
        <w:t>network</w:t>
      </w:r>
      <w:r>
        <w:rPr>
          <w:b/>
          <w:lang w:val="en-US"/>
        </w:rPr>
        <w:t xml:space="preserve"> </w:t>
      </w:r>
      <w:r>
        <w:rPr>
          <w:rFonts w:hint="eastAsia"/>
          <w:b/>
          <w:lang w:val="en-US"/>
        </w:rPr>
        <w:t>can</w:t>
      </w:r>
      <w:r>
        <w:rPr>
          <w:b/>
          <w:lang w:val="en-US"/>
        </w:rPr>
        <w:t xml:space="preserve"> update </w:t>
      </w:r>
      <w:r w:rsidRPr="00382046">
        <w:rPr>
          <w:b/>
          <w:lang w:val="en-US"/>
        </w:rPr>
        <w:t xml:space="preserve">the corresponding </w:t>
      </w:r>
      <w:r w:rsidRPr="00BC769D">
        <w:rPr>
          <w:b/>
          <w:lang w:val="en-US"/>
        </w:rPr>
        <w:t>SMTC/Measurement Gap configuration</w:t>
      </w:r>
      <w:r>
        <w:rPr>
          <w:b/>
          <w:lang w:val="en-US"/>
        </w:rPr>
        <w:t>.</w:t>
      </w:r>
      <w:bookmarkEnd w:id="2"/>
      <w:r w:rsidRPr="001A5669">
        <w:rPr>
          <w:b/>
          <w:lang w:val="en-US"/>
        </w:rPr>
        <w:t xml:space="preserve"> </w:t>
      </w:r>
    </w:p>
    <w:p w14:paraId="49E33B0B" w14:textId="77777777" w:rsidR="00874A28" w:rsidRPr="008912F0" w:rsidRDefault="00874A28" w:rsidP="004711D9">
      <w:pPr>
        <w:pStyle w:val="1"/>
        <w:rPr>
          <w:sz w:val="40"/>
        </w:rPr>
      </w:pPr>
      <w:r w:rsidRPr="008912F0">
        <w:rPr>
          <w:sz w:val="40"/>
        </w:rPr>
        <w:t>Conclusions</w:t>
      </w:r>
      <w:r w:rsidR="003152CC" w:rsidRPr="008912F0">
        <w:rPr>
          <w:sz w:val="40"/>
        </w:rPr>
        <w:t xml:space="preserve"> </w:t>
      </w:r>
    </w:p>
    <w:p w14:paraId="2D5CEB94" w14:textId="24F94E81" w:rsidR="00717F58" w:rsidRDefault="00717F58" w:rsidP="00717F58">
      <w:pPr>
        <w:pStyle w:val="af"/>
        <w:rPr>
          <w:rFonts w:eastAsia="等线"/>
          <w:sz w:val="22"/>
          <w:szCs w:val="22"/>
          <w:lang w:val="en-GB" w:eastAsia="zh-CN"/>
        </w:rPr>
      </w:pPr>
      <w:r w:rsidRPr="00EA2975">
        <w:rPr>
          <w:rFonts w:eastAsia="等线"/>
          <w:sz w:val="22"/>
          <w:szCs w:val="22"/>
          <w:lang w:val="en-GB" w:eastAsia="zh-CN"/>
        </w:rPr>
        <w:t xml:space="preserve">In this contribution, the following observations and proposals are given based on the discussion </w:t>
      </w:r>
      <w:r w:rsidRPr="0083616A">
        <w:rPr>
          <w:rFonts w:eastAsia="等线"/>
          <w:sz w:val="22"/>
          <w:szCs w:val="22"/>
          <w:lang w:val="en-GB" w:eastAsia="zh-CN"/>
        </w:rPr>
        <w:t>in</w:t>
      </w:r>
      <w:r w:rsidRPr="00EA2975">
        <w:rPr>
          <w:rFonts w:eastAsia="等线"/>
          <w:sz w:val="22"/>
          <w:szCs w:val="22"/>
          <w:lang w:val="en-GB" w:eastAsia="zh-CN"/>
        </w:rPr>
        <w:t xml:space="preserve"> </w:t>
      </w:r>
      <w:r w:rsidRPr="0083616A">
        <w:rPr>
          <w:rFonts w:eastAsia="等线"/>
          <w:sz w:val="22"/>
          <w:szCs w:val="22"/>
          <w:lang w:val="en-GB" w:eastAsia="zh-CN"/>
        </w:rPr>
        <w:t>section</w:t>
      </w:r>
      <w:r w:rsidR="007B1863" w:rsidRPr="00EA2975">
        <w:rPr>
          <w:rFonts w:eastAsia="等线"/>
          <w:sz w:val="22"/>
          <w:szCs w:val="22"/>
          <w:lang w:val="en-GB" w:eastAsia="zh-CN"/>
        </w:rPr>
        <w:t xml:space="preserve"> </w:t>
      </w:r>
      <w:r w:rsidRPr="00EA2975">
        <w:rPr>
          <w:rFonts w:eastAsia="等线"/>
          <w:sz w:val="22"/>
          <w:szCs w:val="22"/>
          <w:lang w:val="en-GB" w:eastAsia="zh-CN"/>
        </w:rPr>
        <w:t>2:</w:t>
      </w:r>
    </w:p>
    <w:p w14:paraId="60D21F65" w14:textId="7FD32470" w:rsidR="007711C9" w:rsidRPr="007711C9" w:rsidRDefault="007711C9" w:rsidP="007711C9">
      <w:pPr>
        <w:rPr>
          <w:b/>
        </w:rPr>
      </w:pPr>
      <w:r w:rsidRPr="003B05ED">
        <w:rPr>
          <w:rFonts w:hint="eastAsia"/>
          <w:b/>
        </w:rPr>
        <w:t xml:space="preserve">Observation </w:t>
      </w:r>
      <w:r w:rsidR="00C17E79">
        <w:rPr>
          <w:b/>
        </w:rPr>
        <w:t>1</w:t>
      </w:r>
      <w:r>
        <w:rPr>
          <w:b/>
        </w:rPr>
        <w:t xml:space="preserve">: </w:t>
      </w:r>
      <w:r w:rsidR="00D56CCE" w:rsidRPr="003B05ED">
        <w:rPr>
          <w:b/>
        </w:rPr>
        <w:t>Criterion</w:t>
      </w:r>
      <w:r w:rsidR="00D56CCE">
        <w:rPr>
          <w:b/>
        </w:rPr>
        <w:t xml:space="preserve"> based on </w:t>
      </w:r>
      <w:r w:rsidR="00D56CCE" w:rsidRPr="00A8230C">
        <w:rPr>
          <w:b/>
        </w:rPr>
        <w:t xml:space="preserve">signal strength </w:t>
      </w:r>
      <w:r w:rsidR="00D56CCE">
        <w:rPr>
          <w:b/>
        </w:rPr>
        <w:t xml:space="preserve">of serving cell </w:t>
      </w:r>
      <w:r w:rsidR="00D56CCE" w:rsidRPr="003B05ED">
        <w:rPr>
          <w:b/>
        </w:rPr>
        <w:t>for measurements on non-serving cells is inadequate in the NTN system as the near-far effect is not pronounced.</w:t>
      </w:r>
    </w:p>
    <w:p w14:paraId="7D74E8F5" w14:textId="05283A2D" w:rsidR="007711C9" w:rsidRPr="00F56AE5" w:rsidRDefault="007711C9" w:rsidP="007711C9">
      <w:pPr>
        <w:rPr>
          <w:b/>
          <w:lang w:val="en-US"/>
        </w:rPr>
      </w:pPr>
      <w:r w:rsidRPr="00F56AE5">
        <w:rPr>
          <w:b/>
          <w:lang w:val="en-US"/>
        </w:rPr>
        <w:t>Proposal 1:</w:t>
      </w:r>
      <w:r w:rsidRPr="00F56AE5">
        <w:rPr>
          <w:b/>
        </w:rPr>
        <w:t xml:space="preserve"> </w:t>
      </w:r>
      <w:r w:rsidR="00DC387F" w:rsidRPr="00DC387F">
        <w:rPr>
          <w:b/>
          <w:lang w:val="en-US"/>
        </w:rPr>
        <w:t>RAN2 should study measurement initiation condition for non-serving cells based on location information, the following options can be considered.</w:t>
      </w:r>
    </w:p>
    <w:p w14:paraId="0919EE47" w14:textId="77777777" w:rsidR="007711C9" w:rsidRPr="00F56AE5" w:rsidRDefault="007711C9" w:rsidP="007711C9">
      <w:pPr>
        <w:ind w:leftChars="100" w:left="220"/>
        <w:rPr>
          <w:b/>
          <w:lang w:val="en-US"/>
        </w:rPr>
      </w:pPr>
      <w:r w:rsidRPr="00F56AE5">
        <w:rPr>
          <w:b/>
          <w:lang w:val="en-US"/>
        </w:rPr>
        <w:t>Option 1: UE can perform measurements on non-serving cells based on the distance between UE and the serving satellite.</w:t>
      </w:r>
    </w:p>
    <w:p w14:paraId="42D6C33A" w14:textId="77777777" w:rsidR="007711C9" w:rsidRPr="00F56AE5" w:rsidRDefault="007711C9" w:rsidP="007711C9">
      <w:pPr>
        <w:ind w:leftChars="100" w:left="220"/>
        <w:rPr>
          <w:b/>
          <w:lang w:val="en-US"/>
        </w:rPr>
      </w:pPr>
      <w:r w:rsidRPr="00F56AE5">
        <w:rPr>
          <w:b/>
          <w:lang w:val="en-US"/>
        </w:rPr>
        <w:t>Option 2: UE can perform measurements on non-serving cells based on the distance between UE and the center of serving cell.</w:t>
      </w:r>
    </w:p>
    <w:p w14:paraId="757A91E2" w14:textId="07346216" w:rsidR="007711C9" w:rsidRDefault="007711C9" w:rsidP="007711C9">
      <w:pPr>
        <w:pStyle w:val="af"/>
        <w:ind w:leftChars="100" w:left="220"/>
        <w:rPr>
          <w:b/>
        </w:rPr>
      </w:pPr>
      <w:r w:rsidRPr="00F56AE5">
        <w:rPr>
          <w:b/>
        </w:rPr>
        <w:t>Option 3: UE can perform measurements on non-serving cells based on a geographical area scope referring to the coverage information of serving cell.</w:t>
      </w:r>
    </w:p>
    <w:p w14:paraId="41938948" w14:textId="14218662" w:rsidR="007711C9" w:rsidRPr="00CE3057" w:rsidRDefault="00C17E79" w:rsidP="007711C9">
      <w:pPr>
        <w:rPr>
          <w:b/>
          <w:szCs w:val="22"/>
        </w:rPr>
      </w:pPr>
      <w:r>
        <w:rPr>
          <w:b/>
          <w:szCs w:val="22"/>
        </w:rPr>
        <w:t>Proposal 2</w:t>
      </w:r>
      <w:r w:rsidR="007711C9">
        <w:rPr>
          <w:b/>
          <w:szCs w:val="22"/>
        </w:rPr>
        <w:t>: Location based measurement event can be configured based on t</w:t>
      </w:r>
      <w:r w:rsidR="007711C9" w:rsidRPr="007C563A">
        <w:rPr>
          <w:b/>
          <w:szCs w:val="22"/>
        </w:rPr>
        <w:t>he distance between UE and cell center</w:t>
      </w:r>
      <w:r w:rsidR="007711C9">
        <w:rPr>
          <w:b/>
          <w:szCs w:val="22"/>
        </w:rPr>
        <w:t xml:space="preserve"> for satellite cells with regular shape</w:t>
      </w:r>
      <w:r w:rsidR="007711C9">
        <w:rPr>
          <w:rFonts w:hint="eastAsia"/>
          <w:b/>
          <w:szCs w:val="22"/>
        </w:rPr>
        <w:t>.</w:t>
      </w:r>
    </w:p>
    <w:p w14:paraId="564EDDE7" w14:textId="0EC31DC6" w:rsidR="007711C9" w:rsidRDefault="007711C9" w:rsidP="007711C9">
      <w:pPr>
        <w:rPr>
          <w:b/>
          <w:szCs w:val="22"/>
        </w:rPr>
      </w:pPr>
      <w:r w:rsidRPr="007C563A">
        <w:rPr>
          <w:b/>
          <w:lang w:val="en-US"/>
        </w:rPr>
        <w:t xml:space="preserve">Proposal </w:t>
      </w:r>
      <w:r w:rsidR="00C17E79">
        <w:rPr>
          <w:b/>
          <w:lang w:val="en-US"/>
        </w:rPr>
        <w:t>3</w:t>
      </w:r>
      <w:r w:rsidRPr="007C563A">
        <w:rPr>
          <w:b/>
          <w:lang w:val="en-US"/>
        </w:rPr>
        <w:t>:</w:t>
      </w:r>
      <w:r w:rsidRPr="007C563A">
        <w:rPr>
          <w:b/>
        </w:rPr>
        <w:t xml:space="preserve"> </w:t>
      </w:r>
      <w:r>
        <w:rPr>
          <w:b/>
          <w:szCs w:val="22"/>
        </w:rPr>
        <w:t xml:space="preserve">Location based measurement event can be configured </w:t>
      </w:r>
      <w:r w:rsidRPr="007C563A">
        <w:rPr>
          <w:b/>
          <w:lang w:val="en-US"/>
        </w:rPr>
        <w:t>based on</w:t>
      </w:r>
      <w:r w:rsidRPr="004C3A26">
        <w:t xml:space="preserve"> </w:t>
      </w:r>
      <w:r>
        <w:rPr>
          <w:b/>
        </w:rPr>
        <w:t>a</w:t>
      </w:r>
      <w:r w:rsidRPr="004C3A26">
        <w:rPr>
          <w:b/>
          <w:lang w:val="en-US"/>
        </w:rPr>
        <w:t xml:space="preserve"> geographical area scope referring to the cell coverage information</w:t>
      </w:r>
      <w:r>
        <w:rPr>
          <w:b/>
          <w:szCs w:val="22"/>
        </w:rPr>
        <w:t xml:space="preserve"> for </w:t>
      </w:r>
      <w:r w:rsidRPr="007C563A">
        <w:rPr>
          <w:b/>
          <w:lang w:val="en-US"/>
        </w:rPr>
        <w:t xml:space="preserve">satellite cells with </w:t>
      </w:r>
      <w:r>
        <w:rPr>
          <w:b/>
          <w:lang w:val="en-US"/>
        </w:rPr>
        <w:t>ir</w:t>
      </w:r>
      <w:r w:rsidRPr="007C563A">
        <w:rPr>
          <w:b/>
          <w:lang w:val="en-US"/>
        </w:rPr>
        <w:t>regular shape</w:t>
      </w:r>
      <w:r>
        <w:rPr>
          <w:rFonts w:hint="eastAsia"/>
          <w:b/>
          <w:szCs w:val="22"/>
        </w:rPr>
        <w:t>.</w:t>
      </w:r>
    </w:p>
    <w:p w14:paraId="3B49BBD0" w14:textId="77777777" w:rsidR="00C17E79" w:rsidRPr="00D21CC1" w:rsidRDefault="00C17E79" w:rsidP="00C17E79">
      <w:pPr>
        <w:rPr>
          <w:b/>
          <w:lang w:val="en-US"/>
        </w:rPr>
      </w:pPr>
      <w:r w:rsidRPr="00D21CC1">
        <w:rPr>
          <w:b/>
        </w:rPr>
        <w:t>Observation</w:t>
      </w:r>
      <w:r>
        <w:rPr>
          <w:b/>
        </w:rPr>
        <w:t xml:space="preserve"> 2</w:t>
      </w:r>
      <w:r w:rsidRPr="00D21CC1">
        <w:rPr>
          <w:b/>
        </w:rPr>
        <w:t>:</w:t>
      </w:r>
      <w:r w:rsidRPr="00D21CC1">
        <w:rPr>
          <w:b/>
          <w:lang w:val="en-US"/>
        </w:rPr>
        <w:t xml:space="preserve"> </w:t>
      </w:r>
      <w:r>
        <w:rPr>
          <w:b/>
          <w:lang w:val="en-US"/>
        </w:rPr>
        <w:t>Network requires t</w:t>
      </w:r>
      <w:r w:rsidRPr="00D21CC1">
        <w:rPr>
          <w:b/>
          <w:lang w:val="en-US"/>
        </w:rPr>
        <w:t>he propagation delay difference between serving cell and neighbor cells to update SMTC</w:t>
      </w:r>
      <w:r w:rsidRPr="00D21CC1">
        <w:rPr>
          <w:rFonts w:hint="eastAsia"/>
          <w:b/>
          <w:lang w:val="en-US"/>
        </w:rPr>
        <w:t>/</w:t>
      </w:r>
      <w:r w:rsidRPr="00D21CC1">
        <w:rPr>
          <w:b/>
          <w:lang w:val="en-US"/>
        </w:rPr>
        <w:t>measurement gap configuratio</w:t>
      </w:r>
      <w:r w:rsidRPr="00D21CC1">
        <w:rPr>
          <w:rFonts w:hint="eastAsia"/>
          <w:b/>
          <w:lang w:val="en-US"/>
        </w:rPr>
        <w:t>n</w:t>
      </w:r>
      <w:r w:rsidRPr="00D21CC1">
        <w:rPr>
          <w:b/>
          <w:lang w:val="en-US"/>
        </w:rPr>
        <w:t xml:space="preserve">. </w:t>
      </w:r>
    </w:p>
    <w:p w14:paraId="565E4288" w14:textId="77777777" w:rsidR="00C17E79" w:rsidRPr="00037819" w:rsidRDefault="00C17E79" w:rsidP="00C17E79">
      <w:pPr>
        <w:rPr>
          <w:b/>
          <w:lang w:val="en-US"/>
        </w:rPr>
      </w:pPr>
      <w:r w:rsidRPr="00037819">
        <w:rPr>
          <w:b/>
          <w:lang w:val="en-US"/>
        </w:rPr>
        <w:t>Observation</w:t>
      </w:r>
      <w:r>
        <w:rPr>
          <w:b/>
          <w:lang w:val="en-US"/>
        </w:rPr>
        <w:t xml:space="preserve"> 3</w:t>
      </w:r>
      <w:r w:rsidRPr="00037819">
        <w:rPr>
          <w:b/>
          <w:lang w:val="en-US"/>
        </w:rPr>
        <w:t>: The feeder link propagation delay difference can be acquired by network to assist SMTC/measurement gap configuration.</w:t>
      </w:r>
    </w:p>
    <w:p w14:paraId="6B3B3AAE" w14:textId="77777777" w:rsidR="00C17E79" w:rsidRPr="00D21CC1" w:rsidRDefault="00C17E79" w:rsidP="00C17E79">
      <w:pPr>
        <w:rPr>
          <w:b/>
          <w:lang w:val="en-US"/>
        </w:rPr>
      </w:pPr>
      <w:r w:rsidRPr="00D21CC1">
        <w:rPr>
          <w:rFonts w:hint="eastAsia"/>
          <w:b/>
          <w:lang w:val="en-US"/>
        </w:rPr>
        <w:t>P</w:t>
      </w:r>
      <w:r>
        <w:rPr>
          <w:b/>
          <w:lang w:val="en-US"/>
        </w:rPr>
        <w:t>roposal 4</w:t>
      </w:r>
      <w:r w:rsidRPr="00D21CC1">
        <w:rPr>
          <w:b/>
          <w:lang w:val="en-US"/>
        </w:rPr>
        <w:t>: UE should report the</w:t>
      </w:r>
      <w:r>
        <w:rPr>
          <w:b/>
          <w:lang w:val="en-US"/>
        </w:rPr>
        <w:t xml:space="preserve"> service link</w:t>
      </w:r>
      <w:r w:rsidRPr="00D21CC1">
        <w:rPr>
          <w:b/>
          <w:lang w:val="en-US"/>
        </w:rPr>
        <w:t xml:space="preserve"> propagation delay difference between serving satellite and neighbor satellites to </w:t>
      </w:r>
      <w:r w:rsidRPr="00D21CC1">
        <w:rPr>
          <w:rFonts w:hint="eastAsia"/>
          <w:b/>
          <w:lang w:val="en-US"/>
        </w:rPr>
        <w:t>assist</w:t>
      </w:r>
      <w:r w:rsidRPr="00D21CC1">
        <w:rPr>
          <w:b/>
          <w:lang w:val="en-US"/>
        </w:rPr>
        <w:t xml:space="preserve"> SMTC</w:t>
      </w:r>
      <w:r w:rsidRPr="00D21CC1">
        <w:rPr>
          <w:rFonts w:hint="eastAsia"/>
          <w:b/>
          <w:lang w:val="en-US"/>
        </w:rPr>
        <w:t>/</w:t>
      </w:r>
      <w:r w:rsidRPr="00D21CC1">
        <w:rPr>
          <w:b/>
          <w:lang w:val="en-US"/>
        </w:rPr>
        <w:t>measurement gap configuratio</w:t>
      </w:r>
      <w:r w:rsidRPr="00D21CC1">
        <w:rPr>
          <w:rFonts w:hint="eastAsia"/>
          <w:b/>
          <w:lang w:val="en-US"/>
        </w:rPr>
        <w:t>n</w:t>
      </w:r>
      <w:r w:rsidRPr="00D21CC1">
        <w:rPr>
          <w:b/>
          <w:lang w:val="en-US"/>
        </w:rPr>
        <w:t>.</w:t>
      </w:r>
    </w:p>
    <w:p w14:paraId="6E59E734" w14:textId="72EF1D46" w:rsidR="00C17E79" w:rsidRPr="00C17E79" w:rsidRDefault="00C17E79" w:rsidP="007711C9">
      <w:pPr>
        <w:rPr>
          <w:b/>
          <w:lang w:val="en-US"/>
        </w:rPr>
      </w:pPr>
      <w:r w:rsidRPr="001A5669">
        <w:rPr>
          <w:rFonts w:hint="eastAsia"/>
          <w:b/>
          <w:lang w:val="en-US"/>
        </w:rPr>
        <w:t>P</w:t>
      </w:r>
      <w:r>
        <w:rPr>
          <w:b/>
          <w:lang w:val="en-US"/>
        </w:rPr>
        <w:t>roposal 5</w:t>
      </w:r>
      <w:r w:rsidRPr="001A5669">
        <w:rPr>
          <w:b/>
          <w:lang w:val="en-US"/>
        </w:rPr>
        <w:t xml:space="preserve">: </w:t>
      </w:r>
      <w:r>
        <w:rPr>
          <w:rFonts w:hint="eastAsia"/>
          <w:b/>
          <w:lang w:val="en-US"/>
        </w:rPr>
        <w:t>Based</w:t>
      </w:r>
      <w:r>
        <w:rPr>
          <w:b/>
          <w:lang w:val="en-US"/>
        </w:rPr>
        <w:t xml:space="preserve"> </w:t>
      </w:r>
      <w:r>
        <w:rPr>
          <w:rFonts w:hint="eastAsia"/>
          <w:b/>
          <w:lang w:val="en-US"/>
        </w:rPr>
        <w:t>on</w:t>
      </w:r>
      <w:r>
        <w:rPr>
          <w:b/>
          <w:lang w:val="en-US"/>
        </w:rPr>
        <w:t xml:space="preserve"> </w:t>
      </w:r>
      <w:r>
        <w:rPr>
          <w:rFonts w:hint="eastAsia"/>
          <w:b/>
          <w:lang w:val="en-US"/>
        </w:rPr>
        <w:t>the</w:t>
      </w:r>
      <w:r>
        <w:rPr>
          <w:b/>
          <w:lang w:val="en-US"/>
        </w:rPr>
        <w:t xml:space="preserve"> </w:t>
      </w:r>
      <w:r>
        <w:rPr>
          <w:rFonts w:hint="eastAsia"/>
          <w:b/>
          <w:lang w:val="en-US"/>
        </w:rPr>
        <w:t>report</w:t>
      </w:r>
      <w:r>
        <w:rPr>
          <w:b/>
          <w:lang w:val="en-US"/>
        </w:rPr>
        <w:t xml:space="preserve"> </w:t>
      </w:r>
      <w:r>
        <w:rPr>
          <w:rFonts w:hint="eastAsia"/>
          <w:b/>
          <w:lang w:val="en-US"/>
        </w:rPr>
        <w:t>from</w:t>
      </w:r>
      <w:r>
        <w:rPr>
          <w:b/>
          <w:lang w:val="en-US"/>
        </w:rPr>
        <w:t xml:space="preserve"> </w:t>
      </w:r>
      <w:r>
        <w:rPr>
          <w:rFonts w:hint="eastAsia"/>
          <w:b/>
          <w:lang w:val="en-US"/>
        </w:rPr>
        <w:t>UE</w:t>
      </w:r>
      <w:r>
        <w:rPr>
          <w:b/>
          <w:lang w:val="en-US"/>
        </w:rPr>
        <w:t xml:space="preserve"> </w:t>
      </w:r>
      <w:r>
        <w:rPr>
          <w:rFonts w:hint="eastAsia"/>
          <w:b/>
          <w:lang w:val="en-US"/>
        </w:rPr>
        <w:t>about</w:t>
      </w:r>
      <w:r>
        <w:rPr>
          <w:b/>
          <w:lang w:val="en-US"/>
        </w:rPr>
        <w:t xml:space="preserve"> </w:t>
      </w:r>
      <w:r>
        <w:rPr>
          <w:rFonts w:hint="eastAsia"/>
          <w:b/>
          <w:lang w:val="en-US"/>
        </w:rPr>
        <w:t>the</w:t>
      </w:r>
      <w:r w:rsidRPr="001A5669">
        <w:rPr>
          <w:b/>
          <w:lang w:val="en-US"/>
        </w:rPr>
        <w:t xml:space="preserve"> </w:t>
      </w:r>
      <w:r w:rsidRPr="001A5669">
        <w:rPr>
          <w:rFonts w:hint="eastAsia"/>
          <w:b/>
          <w:lang w:val="en-US"/>
        </w:rPr>
        <w:t>neighbor</w:t>
      </w:r>
      <w:r w:rsidRPr="001A5669">
        <w:rPr>
          <w:b/>
          <w:lang w:val="en-US"/>
        </w:rPr>
        <w:t xml:space="preserve"> Cell ID or the corresponding frequency whose SSB burst cannot be detecte</w:t>
      </w:r>
      <w:r>
        <w:rPr>
          <w:rFonts w:hint="eastAsia"/>
          <w:b/>
          <w:lang w:val="en-US"/>
        </w:rPr>
        <w:t>d</w:t>
      </w:r>
      <w:r>
        <w:rPr>
          <w:b/>
          <w:lang w:val="en-US"/>
        </w:rPr>
        <w:t xml:space="preserve">, </w:t>
      </w:r>
      <w:r>
        <w:rPr>
          <w:rFonts w:hint="eastAsia"/>
          <w:b/>
          <w:lang w:val="en-US"/>
        </w:rPr>
        <w:t>network</w:t>
      </w:r>
      <w:r>
        <w:rPr>
          <w:b/>
          <w:lang w:val="en-US"/>
        </w:rPr>
        <w:t xml:space="preserve"> </w:t>
      </w:r>
      <w:r>
        <w:rPr>
          <w:rFonts w:hint="eastAsia"/>
          <w:b/>
          <w:lang w:val="en-US"/>
        </w:rPr>
        <w:t>can</w:t>
      </w:r>
      <w:r>
        <w:rPr>
          <w:b/>
          <w:lang w:val="en-US"/>
        </w:rPr>
        <w:t xml:space="preserve"> update </w:t>
      </w:r>
      <w:r w:rsidRPr="00382046">
        <w:rPr>
          <w:b/>
          <w:lang w:val="en-US"/>
        </w:rPr>
        <w:t xml:space="preserve">the corresponding </w:t>
      </w:r>
      <w:r w:rsidRPr="00BC769D">
        <w:rPr>
          <w:b/>
          <w:lang w:val="en-US"/>
        </w:rPr>
        <w:t>SMTC/Measurement Gap configuration</w:t>
      </w:r>
      <w:r>
        <w:rPr>
          <w:b/>
          <w:lang w:val="en-US"/>
        </w:rPr>
        <w:t>.</w:t>
      </w:r>
      <w:r w:rsidRPr="001A5669">
        <w:rPr>
          <w:b/>
          <w:lang w:val="en-US"/>
        </w:rPr>
        <w:t xml:space="preserve"> </w:t>
      </w:r>
    </w:p>
    <w:p w14:paraId="49D4324C" w14:textId="77777777" w:rsidR="004711D9" w:rsidRPr="008912F0" w:rsidRDefault="004711D9" w:rsidP="004711D9">
      <w:pPr>
        <w:pStyle w:val="1"/>
        <w:rPr>
          <w:sz w:val="40"/>
        </w:rPr>
      </w:pPr>
      <w:r w:rsidRPr="008912F0">
        <w:rPr>
          <w:rFonts w:hint="eastAsia"/>
          <w:sz w:val="40"/>
        </w:rPr>
        <w:t>References</w:t>
      </w:r>
    </w:p>
    <w:p w14:paraId="6C9A6EA4" w14:textId="59D53BCB" w:rsidR="001B2FEB" w:rsidRPr="00724D4F" w:rsidRDefault="003909D3" w:rsidP="00E65EEA">
      <w:pPr>
        <w:pStyle w:val="af"/>
        <w:numPr>
          <w:ilvl w:val="0"/>
          <w:numId w:val="2"/>
        </w:numPr>
        <w:spacing w:after="0"/>
        <w:rPr>
          <w:sz w:val="22"/>
          <w:szCs w:val="22"/>
        </w:rPr>
      </w:pPr>
      <w:r>
        <w:rPr>
          <w:rFonts w:eastAsia="等线"/>
          <w:sz w:val="22"/>
          <w:szCs w:val="22"/>
          <w:lang w:eastAsia="zh-CN"/>
        </w:rPr>
        <w:t>R2-2100001</w:t>
      </w:r>
      <w:r w:rsidR="001B2FEB" w:rsidRPr="00DA25CB">
        <w:rPr>
          <w:rFonts w:eastAsia="等线"/>
          <w:sz w:val="22"/>
          <w:szCs w:val="22"/>
          <w:lang w:eastAsia="zh-CN"/>
        </w:rPr>
        <w:t>, “</w:t>
      </w:r>
      <w:r w:rsidR="00E65EEA">
        <w:rPr>
          <w:rFonts w:cs="Arial"/>
          <w:sz w:val="22"/>
          <w:szCs w:val="22"/>
        </w:rPr>
        <w:t>Report of 3GPP TSG RAN2#112</w:t>
      </w:r>
      <w:r w:rsidR="001B2FEB" w:rsidRPr="00DA25CB">
        <w:rPr>
          <w:rFonts w:cs="Arial"/>
          <w:sz w:val="22"/>
          <w:szCs w:val="22"/>
        </w:rPr>
        <w:t>-e meeting</w:t>
      </w:r>
      <w:r w:rsidR="007D0291">
        <w:rPr>
          <w:rFonts w:eastAsia="等线"/>
          <w:sz w:val="22"/>
          <w:szCs w:val="22"/>
          <w:lang w:eastAsia="zh-CN"/>
        </w:rPr>
        <w:t>”, 2-13</w:t>
      </w:r>
      <w:r w:rsidR="001B2FEB" w:rsidRPr="00DA25CB">
        <w:rPr>
          <w:rFonts w:eastAsia="等线"/>
          <w:sz w:val="22"/>
          <w:szCs w:val="22"/>
          <w:lang w:eastAsia="zh-CN"/>
        </w:rPr>
        <w:t xml:space="preserve"> </w:t>
      </w:r>
      <w:r w:rsidR="00E65EEA" w:rsidRPr="00E65EEA">
        <w:rPr>
          <w:rFonts w:eastAsia="等线"/>
          <w:sz w:val="22"/>
          <w:szCs w:val="22"/>
          <w:lang w:eastAsia="zh-CN"/>
        </w:rPr>
        <w:t>November</w:t>
      </w:r>
      <w:r w:rsidR="001B2FEB" w:rsidRPr="00DA25CB">
        <w:rPr>
          <w:rFonts w:eastAsia="等线"/>
          <w:sz w:val="22"/>
          <w:szCs w:val="22"/>
          <w:lang w:eastAsia="zh-CN"/>
        </w:rPr>
        <w:t>, 2020.</w:t>
      </w:r>
    </w:p>
    <w:p w14:paraId="6463CEA9" w14:textId="2098B9CD" w:rsidR="00724D4F" w:rsidRDefault="000C1564" w:rsidP="000C1564">
      <w:pPr>
        <w:pStyle w:val="af"/>
        <w:numPr>
          <w:ilvl w:val="0"/>
          <w:numId w:val="2"/>
        </w:numPr>
        <w:spacing w:after="0"/>
        <w:rPr>
          <w:rFonts w:eastAsia="等线"/>
          <w:sz w:val="22"/>
          <w:szCs w:val="22"/>
          <w:lang w:eastAsia="zh-CN"/>
        </w:rPr>
      </w:pPr>
      <w:r w:rsidRPr="000C1564">
        <w:rPr>
          <w:rFonts w:eastAsia="等线"/>
          <w:sz w:val="22"/>
          <w:szCs w:val="22"/>
          <w:lang w:eastAsia="zh-CN"/>
        </w:rPr>
        <w:t>R2</w:t>
      </w:r>
      <w:r>
        <w:rPr>
          <w:rFonts w:eastAsia="等线"/>
          <w:sz w:val="22"/>
          <w:szCs w:val="22"/>
          <w:lang w:eastAsia="zh-CN"/>
        </w:rPr>
        <w:t>-</w:t>
      </w:r>
      <w:r w:rsidR="00E80023">
        <w:rPr>
          <w:rFonts w:eastAsia="等线"/>
          <w:sz w:val="22"/>
          <w:szCs w:val="22"/>
          <w:lang w:eastAsia="zh-CN"/>
        </w:rPr>
        <w:t>210318</w:t>
      </w:r>
      <w:r w:rsidR="00DE6AC9">
        <w:rPr>
          <w:rFonts w:eastAsia="等线"/>
          <w:sz w:val="22"/>
          <w:szCs w:val="22"/>
          <w:lang w:eastAsia="zh-CN"/>
        </w:rPr>
        <w:t>1</w:t>
      </w:r>
      <w:r w:rsidR="00FF5C30">
        <w:rPr>
          <w:rFonts w:eastAsia="等线"/>
          <w:sz w:val="22"/>
          <w:szCs w:val="22"/>
          <w:lang w:eastAsia="zh-CN"/>
        </w:rPr>
        <w:t>, “</w:t>
      </w:r>
      <w:r w:rsidRPr="000C1564">
        <w:rPr>
          <w:rFonts w:eastAsia="等线"/>
          <w:sz w:val="22"/>
          <w:szCs w:val="22"/>
          <w:lang w:eastAsia="zh-CN"/>
        </w:rPr>
        <w:t>Discussion on conditional handover in NTN</w:t>
      </w:r>
      <w:r w:rsidR="00DC387F">
        <w:rPr>
          <w:rFonts w:eastAsia="等线"/>
          <w:sz w:val="22"/>
          <w:szCs w:val="22"/>
          <w:lang w:eastAsia="zh-CN"/>
        </w:rPr>
        <w:t>”</w:t>
      </w:r>
      <w:bookmarkStart w:id="3" w:name="_GoBack"/>
      <w:bookmarkEnd w:id="3"/>
      <w:r w:rsidR="00344E20">
        <w:rPr>
          <w:rFonts w:eastAsia="等线"/>
          <w:sz w:val="22"/>
          <w:szCs w:val="22"/>
          <w:lang w:eastAsia="zh-CN"/>
        </w:rPr>
        <w:t>, Xiaomi</w:t>
      </w:r>
      <w:r w:rsidR="00FF5C30">
        <w:rPr>
          <w:rFonts w:eastAsia="等线"/>
          <w:sz w:val="22"/>
          <w:szCs w:val="22"/>
          <w:lang w:eastAsia="zh-CN"/>
        </w:rPr>
        <w:t>, 12-20 April, 2021</w:t>
      </w:r>
    </w:p>
    <w:p w14:paraId="41133CAB" w14:textId="068A158E" w:rsidR="00344E20" w:rsidRPr="000C1564" w:rsidRDefault="00344E20" w:rsidP="00344E20">
      <w:pPr>
        <w:pStyle w:val="af"/>
        <w:numPr>
          <w:ilvl w:val="0"/>
          <w:numId w:val="2"/>
        </w:numPr>
        <w:spacing w:after="0"/>
        <w:rPr>
          <w:rFonts w:eastAsia="等线"/>
          <w:sz w:val="22"/>
          <w:szCs w:val="22"/>
          <w:lang w:eastAsia="zh-CN"/>
        </w:rPr>
      </w:pPr>
      <w:r>
        <w:rPr>
          <w:rFonts w:eastAsia="等线"/>
          <w:sz w:val="22"/>
          <w:szCs w:val="22"/>
          <w:lang w:eastAsia="zh-CN"/>
        </w:rPr>
        <w:t>R2-xxxxxxx, “</w:t>
      </w:r>
      <w:r w:rsidRPr="00344E20">
        <w:rPr>
          <w:rFonts w:eastAsia="等线"/>
          <w:sz w:val="22"/>
          <w:szCs w:val="22"/>
          <w:lang w:eastAsia="zh-CN"/>
        </w:rPr>
        <w:t xml:space="preserve">Report of [post113-e][108][NTN] SMTC and measurement gap (Intel) </w:t>
      </w:r>
      <w:r>
        <w:rPr>
          <w:rFonts w:eastAsia="等线"/>
          <w:sz w:val="22"/>
          <w:szCs w:val="22"/>
          <w:lang w:eastAsia="zh-CN"/>
        </w:rPr>
        <w:t>”, 12-20 April, 2021</w:t>
      </w:r>
    </w:p>
    <w:p w14:paraId="7A6FEC20" w14:textId="72D18C61" w:rsidR="00DD09B0" w:rsidRPr="00FF5C30" w:rsidRDefault="00DD09B0" w:rsidP="00F718E0">
      <w:pPr>
        <w:pStyle w:val="af"/>
        <w:spacing w:after="0"/>
        <w:ind w:left="420"/>
        <w:rPr>
          <w:rFonts w:eastAsia="等线"/>
          <w:sz w:val="22"/>
          <w:szCs w:val="22"/>
          <w:lang w:eastAsia="zh-CN"/>
        </w:rPr>
      </w:pPr>
    </w:p>
    <w:sectPr w:rsidR="00DD09B0" w:rsidRPr="00FF5C30"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6F8AB" w14:textId="77777777" w:rsidR="00570123" w:rsidRDefault="00570123">
      <w:pPr>
        <w:spacing w:after="0" w:line="240" w:lineRule="auto"/>
      </w:pPr>
      <w:r>
        <w:separator/>
      </w:r>
    </w:p>
  </w:endnote>
  <w:endnote w:type="continuationSeparator" w:id="0">
    <w:p w14:paraId="6495A37B" w14:textId="77777777" w:rsidR="00570123" w:rsidRDefault="00570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6CC3D" w14:textId="1EDA4141" w:rsidR="00D5589A" w:rsidRDefault="00D5589A"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D619D0">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D619D0">
      <w:rPr>
        <w:sz w:val="20"/>
        <w:szCs w:val="20"/>
      </w:rPr>
      <w:t>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619BA" w14:textId="77777777" w:rsidR="00570123" w:rsidRDefault="00570123">
      <w:pPr>
        <w:spacing w:after="0" w:line="240" w:lineRule="auto"/>
      </w:pPr>
      <w:r>
        <w:separator/>
      </w:r>
    </w:p>
  </w:footnote>
  <w:footnote w:type="continuationSeparator" w:id="0">
    <w:p w14:paraId="75A342BC" w14:textId="77777777" w:rsidR="00570123" w:rsidRDefault="005701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2C421F"/>
    <w:multiLevelType w:val="multilevel"/>
    <w:tmpl w:val="952C421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D0269E"/>
    <w:multiLevelType w:val="hybridMultilevel"/>
    <w:tmpl w:val="821CE7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1767E5"/>
    <w:multiLevelType w:val="hybridMultilevel"/>
    <w:tmpl w:val="B9A6CB5C"/>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97A15"/>
    <w:multiLevelType w:val="hybridMultilevel"/>
    <w:tmpl w:val="A2FC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D94B12"/>
    <w:multiLevelType w:val="hybridMultilevel"/>
    <w:tmpl w:val="7BB66B1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D97348"/>
    <w:multiLevelType w:val="hybridMultilevel"/>
    <w:tmpl w:val="E376BBC6"/>
    <w:lvl w:ilvl="0" w:tplc="49522D4A">
      <w:start w:val="1"/>
      <w:numFmt w:val="bullet"/>
      <w:lvlText w:val="•"/>
      <w:lvlJc w:val="left"/>
      <w:pPr>
        <w:tabs>
          <w:tab w:val="num" w:pos="720"/>
        </w:tabs>
        <w:ind w:left="720" w:hanging="360"/>
      </w:pPr>
      <w:rPr>
        <w:rFonts w:ascii="Arial" w:hAnsi="Arial" w:hint="default"/>
      </w:rPr>
    </w:lvl>
    <w:lvl w:ilvl="1" w:tplc="D07E00DA" w:tentative="1">
      <w:start w:val="1"/>
      <w:numFmt w:val="bullet"/>
      <w:lvlText w:val="•"/>
      <w:lvlJc w:val="left"/>
      <w:pPr>
        <w:tabs>
          <w:tab w:val="num" w:pos="1440"/>
        </w:tabs>
        <w:ind w:left="1440" w:hanging="360"/>
      </w:pPr>
      <w:rPr>
        <w:rFonts w:ascii="Arial" w:hAnsi="Arial" w:hint="default"/>
      </w:rPr>
    </w:lvl>
    <w:lvl w:ilvl="2" w:tplc="F23A30C8" w:tentative="1">
      <w:start w:val="1"/>
      <w:numFmt w:val="bullet"/>
      <w:lvlText w:val="•"/>
      <w:lvlJc w:val="left"/>
      <w:pPr>
        <w:tabs>
          <w:tab w:val="num" w:pos="2160"/>
        </w:tabs>
        <w:ind w:left="2160" w:hanging="360"/>
      </w:pPr>
      <w:rPr>
        <w:rFonts w:ascii="Arial" w:hAnsi="Arial" w:hint="default"/>
      </w:rPr>
    </w:lvl>
    <w:lvl w:ilvl="3" w:tplc="D6C4DCCA" w:tentative="1">
      <w:start w:val="1"/>
      <w:numFmt w:val="bullet"/>
      <w:lvlText w:val="•"/>
      <w:lvlJc w:val="left"/>
      <w:pPr>
        <w:tabs>
          <w:tab w:val="num" w:pos="2880"/>
        </w:tabs>
        <w:ind w:left="2880" w:hanging="360"/>
      </w:pPr>
      <w:rPr>
        <w:rFonts w:ascii="Arial" w:hAnsi="Arial" w:hint="default"/>
      </w:rPr>
    </w:lvl>
    <w:lvl w:ilvl="4" w:tplc="F624431C" w:tentative="1">
      <w:start w:val="1"/>
      <w:numFmt w:val="bullet"/>
      <w:lvlText w:val="•"/>
      <w:lvlJc w:val="left"/>
      <w:pPr>
        <w:tabs>
          <w:tab w:val="num" w:pos="3600"/>
        </w:tabs>
        <w:ind w:left="3600" w:hanging="360"/>
      </w:pPr>
      <w:rPr>
        <w:rFonts w:ascii="Arial" w:hAnsi="Arial" w:hint="default"/>
      </w:rPr>
    </w:lvl>
    <w:lvl w:ilvl="5" w:tplc="FAC4C1E8" w:tentative="1">
      <w:start w:val="1"/>
      <w:numFmt w:val="bullet"/>
      <w:lvlText w:val="•"/>
      <w:lvlJc w:val="left"/>
      <w:pPr>
        <w:tabs>
          <w:tab w:val="num" w:pos="4320"/>
        </w:tabs>
        <w:ind w:left="4320" w:hanging="360"/>
      </w:pPr>
      <w:rPr>
        <w:rFonts w:ascii="Arial" w:hAnsi="Arial" w:hint="default"/>
      </w:rPr>
    </w:lvl>
    <w:lvl w:ilvl="6" w:tplc="93AE291C" w:tentative="1">
      <w:start w:val="1"/>
      <w:numFmt w:val="bullet"/>
      <w:lvlText w:val="•"/>
      <w:lvlJc w:val="left"/>
      <w:pPr>
        <w:tabs>
          <w:tab w:val="num" w:pos="5040"/>
        </w:tabs>
        <w:ind w:left="5040" w:hanging="360"/>
      </w:pPr>
      <w:rPr>
        <w:rFonts w:ascii="Arial" w:hAnsi="Arial" w:hint="default"/>
      </w:rPr>
    </w:lvl>
    <w:lvl w:ilvl="7" w:tplc="650C1C0E" w:tentative="1">
      <w:start w:val="1"/>
      <w:numFmt w:val="bullet"/>
      <w:lvlText w:val="•"/>
      <w:lvlJc w:val="left"/>
      <w:pPr>
        <w:tabs>
          <w:tab w:val="num" w:pos="5760"/>
        </w:tabs>
        <w:ind w:left="5760" w:hanging="360"/>
      </w:pPr>
      <w:rPr>
        <w:rFonts w:ascii="Arial" w:hAnsi="Arial" w:hint="default"/>
      </w:rPr>
    </w:lvl>
    <w:lvl w:ilvl="8" w:tplc="B908E8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9D5A25"/>
    <w:multiLevelType w:val="hybridMultilevel"/>
    <w:tmpl w:val="F9B4261A"/>
    <w:lvl w:ilvl="0" w:tplc="10807F5C">
      <w:start w:val="1"/>
      <w:numFmt w:val="bullet"/>
      <w:lvlText w:val="•"/>
      <w:lvlJc w:val="left"/>
      <w:pPr>
        <w:tabs>
          <w:tab w:val="num" w:pos="720"/>
        </w:tabs>
        <w:ind w:left="720" w:hanging="360"/>
      </w:pPr>
      <w:rPr>
        <w:rFonts w:ascii="Arial" w:hAnsi="Arial" w:hint="default"/>
      </w:rPr>
    </w:lvl>
    <w:lvl w:ilvl="1" w:tplc="78527870" w:tentative="1">
      <w:start w:val="1"/>
      <w:numFmt w:val="bullet"/>
      <w:lvlText w:val="•"/>
      <w:lvlJc w:val="left"/>
      <w:pPr>
        <w:tabs>
          <w:tab w:val="num" w:pos="1440"/>
        </w:tabs>
        <w:ind w:left="1440" w:hanging="360"/>
      </w:pPr>
      <w:rPr>
        <w:rFonts w:ascii="Arial" w:hAnsi="Arial" w:hint="default"/>
      </w:rPr>
    </w:lvl>
    <w:lvl w:ilvl="2" w:tplc="FB4EA564" w:tentative="1">
      <w:start w:val="1"/>
      <w:numFmt w:val="bullet"/>
      <w:lvlText w:val="•"/>
      <w:lvlJc w:val="left"/>
      <w:pPr>
        <w:tabs>
          <w:tab w:val="num" w:pos="2160"/>
        </w:tabs>
        <w:ind w:left="2160" w:hanging="360"/>
      </w:pPr>
      <w:rPr>
        <w:rFonts w:ascii="Arial" w:hAnsi="Arial" w:hint="default"/>
      </w:rPr>
    </w:lvl>
    <w:lvl w:ilvl="3" w:tplc="80EC82BA" w:tentative="1">
      <w:start w:val="1"/>
      <w:numFmt w:val="bullet"/>
      <w:lvlText w:val="•"/>
      <w:lvlJc w:val="left"/>
      <w:pPr>
        <w:tabs>
          <w:tab w:val="num" w:pos="2880"/>
        </w:tabs>
        <w:ind w:left="2880" w:hanging="360"/>
      </w:pPr>
      <w:rPr>
        <w:rFonts w:ascii="Arial" w:hAnsi="Arial" w:hint="default"/>
      </w:rPr>
    </w:lvl>
    <w:lvl w:ilvl="4" w:tplc="A6885910" w:tentative="1">
      <w:start w:val="1"/>
      <w:numFmt w:val="bullet"/>
      <w:lvlText w:val="•"/>
      <w:lvlJc w:val="left"/>
      <w:pPr>
        <w:tabs>
          <w:tab w:val="num" w:pos="3600"/>
        </w:tabs>
        <w:ind w:left="3600" w:hanging="360"/>
      </w:pPr>
      <w:rPr>
        <w:rFonts w:ascii="Arial" w:hAnsi="Arial" w:hint="default"/>
      </w:rPr>
    </w:lvl>
    <w:lvl w:ilvl="5" w:tplc="48F09380" w:tentative="1">
      <w:start w:val="1"/>
      <w:numFmt w:val="bullet"/>
      <w:lvlText w:val="•"/>
      <w:lvlJc w:val="left"/>
      <w:pPr>
        <w:tabs>
          <w:tab w:val="num" w:pos="4320"/>
        </w:tabs>
        <w:ind w:left="4320" w:hanging="360"/>
      </w:pPr>
      <w:rPr>
        <w:rFonts w:ascii="Arial" w:hAnsi="Arial" w:hint="default"/>
      </w:rPr>
    </w:lvl>
    <w:lvl w:ilvl="6" w:tplc="127EF1D6" w:tentative="1">
      <w:start w:val="1"/>
      <w:numFmt w:val="bullet"/>
      <w:lvlText w:val="•"/>
      <w:lvlJc w:val="left"/>
      <w:pPr>
        <w:tabs>
          <w:tab w:val="num" w:pos="5040"/>
        </w:tabs>
        <w:ind w:left="5040" w:hanging="360"/>
      </w:pPr>
      <w:rPr>
        <w:rFonts w:ascii="Arial" w:hAnsi="Arial" w:hint="default"/>
      </w:rPr>
    </w:lvl>
    <w:lvl w:ilvl="7" w:tplc="3EE8A9CA" w:tentative="1">
      <w:start w:val="1"/>
      <w:numFmt w:val="bullet"/>
      <w:lvlText w:val="•"/>
      <w:lvlJc w:val="left"/>
      <w:pPr>
        <w:tabs>
          <w:tab w:val="num" w:pos="5760"/>
        </w:tabs>
        <w:ind w:left="5760" w:hanging="360"/>
      </w:pPr>
      <w:rPr>
        <w:rFonts w:ascii="Arial" w:hAnsi="Arial" w:hint="default"/>
      </w:rPr>
    </w:lvl>
    <w:lvl w:ilvl="8" w:tplc="58DEA3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2B0375A"/>
    <w:multiLevelType w:val="hybridMultilevel"/>
    <w:tmpl w:val="8ED06DA2"/>
    <w:lvl w:ilvl="0" w:tplc="D7128B9A">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A47649E"/>
    <w:multiLevelType w:val="hybridMultilevel"/>
    <w:tmpl w:val="B1408318"/>
    <w:lvl w:ilvl="0" w:tplc="D7128B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1F757B"/>
    <w:multiLevelType w:val="hybridMultilevel"/>
    <w:tmpl w:val="78A25568"/>
    <w:lvl w:ilvl="0" w:tplc="D7128B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92D73B9"/>
    <w:multiLevelType w:val="hybridMultilevel"/>
    <w:tmpl w:val="C010BC7E"/>
    <w:lvl w:ilvl="0" w:tplc="D7128B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C68704B"/>
    <w:multiLevelType w:val="hybridMultilevel"/>
    <w:tmpl w:val="E9A034B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4"/>
  </w:num>
  <w:num w:numId="3">
    <w:abstractNumId w:val="8"/>
  </w:num>
  <w:num w:numId="4">
    <w:abstractNumId w:val="13"/>
  </w:num>
  <w:num w:numId="5">
    <w:abstractNumId w:val="15"/>
  </w:num>
  <w:num w:numId="6">
    <w:abstractNumId w:val="21"/>
  </w:num>
  <w:num w:numId="7">
    <w:abstractNumId w:val="18"/>
  </w:num>
  <w:num w:numId="8">
    <w:abstractNumId w:val="11"/>
  </w:num>
  <w:num w:numId="9">
    <w:abstractNumId w:val="3"/>
  </w:num>
  <w:num w:numId="10">
    <w:abstractNumId w:val="14"/>
  </w:num>
  <w:num w:numId="11">
    <w:abstractNumId w:val="6"/>
  </w:num>
  <w:num w:numId="12">
    <w:abstractNumId w:val="16"/>
  </w:num>
  <w:num w:numId="13">
    <w:abstractNumId w:val="22"/>
  </w:num>
  <w:num w:numId="14">
    <w:abstractNumId w:val="0"/>
  </w:num>
  <w:num w:numId="15">
    <w:abstractNumId w:val="19"/>
  </w:num>
  <w:num w:numId="16">
    <w:abstractNumId w:val="17"/>
  </w:num>
  <w:num w:numId="17">
    <w:abstractNumId w:val="20"/>
  </w:num>
  <w:num w:numId="18">
    <w:abstractNumId w:val="9"/>
  </w:num>
  <w:num w:numId="19">
    <w:abstractNumId w:val="10"/>
  </w:num>
  <w:num w:numId="20">
    <w:abstractNumId w:val="12"/>
  </w:num>
  <w:num w:numId="21">
    <w:abstractNumId w:val="4"/>
  </w:num>
  <w:num w:numId="22">
    <w:abstractNumId w:val="7"/>
  </w:num>
  <w:num w:numId="23">
    <w:abstractNumId w:val="5"/>
  </w:num>
  <w:num w:numId="24">
    <w:abstractNumId w:val="2"/>
  </w:num>
  <w:num w:numId="25">
    <w:abstractNumId w:val="23"/>
  </w:num>
  <w:num w:numId="26">
    <w:abstractNumId w:val="1"/>
  </w:num>
  <w:num w:numId="27">
    <w:abstractNumId w:val="1"/>
  </w:num>
  <w:num w:numId="28">
    <w:abstractNumId w:val="1"/>
  </w:num>
  <w:num w:numId="29">
    <w:abstractNumId w:val="1"/>
  </w:num>
  <w:num w:numId="30">
    <w:abstractNumId w:val="1"/>
  </w:num>
  <w:num w:numId="3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218"/>
    <w:rsid w:val="00004233"/>
    <w:rsid w:val="0000489B"/>
    <w:rsid w:val="00004A9F"/>
    <w:rsid w:val="00005E31"/>
    <w:rsid w:val="000073F2"/>
    <w:rsid w:val="0000796D"/>
    <w:rsid w:val="000079B0"/>
    <w:rsid w:val="00007E01"/>
    <w:rsid w:val="000103B4"/>
    <w:rsid w:val="000111C1"/>
    <w:rsid w:val="000117C4"/>
    <w:rsid w:val="00011DE1"/>
    <w:rsid w:val="00014B90"/>
    <w:rsid w:val="00015D51"/>
    <w:rsid w:val="00016300"/>
    <w:rsid w:val="000168F5"/>
    <w:rsid w:val="000178FF"/>
    <w:rsid w:val="00017AC5"/>
    <w:rsid w:val="00020285"/>
    <w:rsid w:val="000209C3"/>
    <w:rsid w:val="00021770"/>
    <w:rsid w:val="00022CCF"/>
    <w:rsid w:val="00023FAD"/>
    <w:rsid w:val="00024054"/>
    <w:rsid w:val="00024805"/>
    <w:rsid w:val="00025A91"/>
    <w:rsid w:val="00025FE2"/>
    <w:rsid w:val="000278D9"/>
    <w:rsid w:val="00027A7A"/>
    <w:rsid w:val="00027AB6"/>
    <w:rsid w:val="0003041F"/>
    <w:rsid w:val="00030A70"/>
    <w:rsid w:val="00031EA5"/>
    <w:rsid w:val="00032736"/>
    <w:rsid w:val="00032838"/>
    <w:rsid w:val="00033D17"/>
    <w:rsid w:val="00034109"/>
    <w:rsid w:val="0003440D"/>
    <w:rsid w:val="00035F9A"/>
    <w:rsid w:val="00037819"/>
    <w:rsid w:val="00037CDE"/>
    <w:rsid w:val="00040248"/>
    <w:rsid w:val="00040259"/>
    <w:rsid w:val="00040566"/>
    <w:rsid w:val="00040F24"/>
    <w:rsid w:val="00042528"/>
    <w:rsid w:val="00042BFF"/>
    <w:rsid w:val="0004352C"/>
    <w:rsid w:val="000438C8"/>
    <w:rsid w:val="000438F2"/>
    <w:rsid w:val="00044C31"/>
    <w:rsid w:val="000457EF"/>
    <w:rsid w:val="0004621D"/>
    <w:rsid w:val="00047299"/>
    <w:rsid w:val="00047760"/>
    <w:rsid w:val="00050782"/>
    <w:rsid w:val="00050C2A"/>
    <w:rsid w:val="0005216F"/>
    <w:rsid w:val="00053FB3"/>
    <w:rsid w:val="000545DC"/>
    <w:rsid w:val="00057216"/>
    <w:rsid w:val="000576D6"/>
    <w:rsid w:val="00060A3D"/>
    <w:rsid w:val="00064948"/>
    <w:rsid w:val="00065A13"/>
    <w:rsid w:val="00065D2F"/>
    <w:rsid w:val="0006700F"/>
    <w:rsid w:val="0007120B"/>
    <w:rsid w:val="00071F44"/>
    <w:rsid w:val="0007225A"/>
    <w:rsid w:val="000723DF"/>
    <w:rsid w:val="000749F0"/>
    <w:rsid w:val="00074D8A"/>
    <w:rsid w:val="000754AA"/>
    <w:rsid w:val="00077B5B"/>
    <w:rsid w:val="00077FE3"/>
    <w:rsid w:val="0008004C"/>
    <w:rsid w:val="00080630"/>
    <w:rsid w:val="00081967"/>
    <w:rsid w:val="0008353E"/>
    <w:rsid w:val="00083FD7"/>
    <w:rsid w:val="00086FD0"/>
    <w:rsid w:val="00087482"/>
    <w:rsid w:val="00087B0D"/>
    <w:rsid w:val="000938BE"/>
    <w:rsid w:val="00093F26"/>
    <w:rsid w:val="000946A2"/>
    <w:rsid w:val="00095093"/>
    <w:rsid w:val="00095213"/>
    <w:rsid w:val="00096C6A"/>
    <w:rsid w:val="00097812"/>
    <w:rsid w:val="000A133C"/>
    <w:rsid w:val="000A1D29"/>
    <w:rsid w:val="000A2371"/>
    <w:rsid w:val="000A32DB"/>
    <w:rsid w:val="000A3E42"/>
    <w:rsid w:val="000A6A64"/>
    <w:rsid w:val="000B3BE8"/>
    <w:rsid w:val="000B3F37"/>
    <w:rsid w:val="000B4DFF"/>
    <w:rsid w:val="000B4E87"/>
    <w:rsid w:val="000C015B"/>
    <w:rsid w:val="000C032A"/>
    <w:rsid w:val="000C0BCF"/>
    <w:rsid w:val="000C1564"/>
    <w:rsid w:val="000C2EF4"/>
    <w:rsid w:val="000C311D"/>
    <w:rsid w:val="000C313D"/>
    <w:rsid w:val="000C44C5"/>
    <w:rsid w:val="000C45DB"/>
    <w:rsid w:val="000C4BE8"/>
    <w:rsid w:val="000C6E7C"/>
    <w:rsid w:val="000C761C"/>
    <w:rsid w:val="000D01FE"/>
    <w:rsid w:val="000D0634"/>
    <w:rsid w:val="000D0660"/>
    <w:rsid w:val="000D118F"/>
    <w:rsid w:val="000D226B"/>
    <w:rsid w:val="000D2A73"/>
    <w:rsid w:val="000D3D15"/>
    <w:rsid w:val="000D4762"/>
    <w:rsid w:val="000D6F9C"/>
    <w:rsid w:val="000D731C"/>
    <w:rsid w:val="000D787A"/>
    <w:rsid w:val="000E016A"/>
    <w:rsid w:val="000E086E"/>
    <w:rsid w:val="000E0E6A"/>
    <w:rsid w:val="000E1835"/>
    <w:rsid w:val="000E452A"/>
    <w:rsid w:val="000E4A61"/>
    <w:rsid w:val="000E60ED"/>
    <w:rsid w:val="000E7533"/>
    <w:rsid w:val="000F544F"/>
    <w:rsid w:val="000F6303"/>
    <w:rsid w:val="000F6F23"/>
    <w:rsid w:val="000F70C9"/>
    <w:rsid w:val="000F7453"/>
    <w:rsid w:val="000F7AC4"/>
    <w:rsid w:val="000F7D85"/>
    <w:rsid w:val="001012F8"/>
    <w:rsid w:val="0010165C"/>
    <w:rsid w:val="00102A3C"/>
    <w:rsid w:val="001030C1"/>
    <w:rsid w:val="00103388"/>
    <w:rsid w:val="00103457"/>
    <w:rsid w:val="001041B8"/>
    <w:rsid w:val="0010524F"/>
    <w:rsid w:val="00105FD3"/>
    <w:rsid w:val="001073FB"/>
    <w:rsid w:val="00107E4C"/>
    <w:rsid w:val="001117FB"/>
    <w:rsid w:val="00111FEE"/>
    <w:rsid w:val="001127AE"/>
    <w:rsid w:val="00112831"/>
    <w:rsid w:val="00112A40"/>
    <w:rsid w:val="00112BB9"/>
    <w:rsid w:val="00113146"/>
    <w:rsid w:val="001133B1"/>
    <w:rsid w:val="00115F86"/>
    <w:rsid w:val="0011687F"/>
    <w:rsid w:val="00120ABF"/>
    <w:rsid w:val="00120FDF"/>
    <w:rsid w:val="0012396F"/>
    <w:rsid w:val="00125122"/>
    <w:rsid w:val="001260D6"/>
    <w:rsid w:val="001268A5"/>
    <w:rsid w:val="00127447"/>
    <w:rsid w:val="00127836"/>
    <w:rsid w:val="001309DA"/>
    <w:rsid w:val="00131C19"/>
    <w:rsid w:val="00132A1A"/>
    <w:rsid w:val="00133B5D"/>
    <w:rsid w:val="0013445A"/>
    <w:rsid w:val="001368EB"/>
    <w:rsid w:val="00137976"/>
    <w:rsid w:val="001414F2"/>
    <w:rsid w:val="00141606"/>
    <w:rsid w:val="00142459"/>
    <w:rsid w:val="00142510"/>
    <w:rsid w:val="00142AAA"/>
    <w:rsid w:val="00146C59"/>
    <w:rsid w:val="00147CA3"/>
    <w:rsid w:val="00147DFE"/>
    <w:rsid w:val="001510F0"/>
    <w:rsid w:val="001525BF"/>
    <w:rsid w:val="00154970"/>
    <w:rsid w:val="00154ACE"/>
    <w:rsid w:val="00154B86"/>
    <w:rsid w:val="001552F7"/>
    <w:rsid w:val="00155399"/>
    <w:rsid w:val="00156531"/>
    <w:rsid w:val="001615A8"/>
    <w:rsid w:val="00163928"/>
    <w:rsid w:val="001648C0"/>
    <w:rsid w:val="001704B8"/>
    <w:rsid w:val="001709E4"/>
    <w:rsid w:val="00170AE9"/>
    <w:rsid w:val="00174524"/>
    <w:rsid w:val="00174BF9"/>
    <w:rsid w:val="001755AE"/>
    <w:rsid w:val="001760A3"/>
    <w:rsid w:val="0017659E"/>
    <w:rsid w:val="0017742F"/>
    <w:rsid w:val="001777AC"/>
    <w:rsid w:val="00177916"/>
    <w:rsid w:val="001810BF"/>
    <w:rsid w:val="00181507"/>
    <w:rsid w:val="001825FA"/>
    <w:rsid w:val="0018273A"/>
    <w:rsid w:val="001831AC"/>
    <w:rsid w:val="0018379C"/>
    <w:rsid w:val="00183827"/>
    <w:rsid w:val="00184109"/>
    <w:rsid w:val="0018689A"/>
    <w:rsid w:val="0018779C"/>
    <w:rsid w:val="00191663"/>
    <w:rsid w:val="0019199F"/>
    <w:rsid w:val="0019263D"/>
    <w:rsid w:val="00192BDD"/>
    <w:rsid w:val="00192FEC"/>
    <w:rsid w:val="00194753"/>
    <w:rsid w:val="001955A1"/>
    <w:rsid w:val="001957A4"/>
    <w:rsid w:val="00195E21"/>
    <w:rsid w:val="00196EEE"/>
    <w:rsid w:val="00197459"/>
    <w:rsid w:val="00197735"/>
    <w:rsid w:val="001A2982"/>
    <w:rsid w:val="001A2CEB"/>
    <w:rsid w:val="001A4D2B"/>
    <w:rsid w:val="001A53C5"/>
    <w:rsid w:val="001A5669"/>
    <w:rsid w:val="001A5AE8"/>
    <w:rsid w:val="001A5C0F"/>
    <w:rsid w:val="001A65D9"/>
    <w:rsid w:val="001A6795"/>
    <w:rsid w:val="001A6A6B"/>
    <w:rsid w:val="001A6E3E"/>
    <w:rsid w:val="001B01A8"/>
    <w:rsid w:val="001B1276"/>
    <w:rsid w:val="001B1AD0"/>
    <w:rsid w:val="001B2FEB"/>
    <w:rsid w:val="001B52EA"/>
    <w:rsid w:val="001B6C33"/>
    <w:rsid w:val="001C001B"/>
    <w:rsid w:val="001C04D4"/>
    <w:rsid w:val="001C1714"/>
    <w:rsid w:val="001C1B71"/>
    <w:rsid w:val="001C2072"/>
    <w:rsid w:val="001C2F25"/>
    <w:rsid w:val="001C2FC0"/>
    <w:rsid w:val="001C4F4C"/>
    <w:rsid w:val="001C696E"/>
    <w:rsid w:val="001C6995"/>
    <w:rsid w:val="001C79B2"/>
    <w:rsid w:val="001D0F1B"/>
    <w:rsid w:val="001D14E2"/>
    <w:rsid w:val="001D1B5E"/>
    <w:rsid w:val="001D2D3D"/>
    <w:rsid w:val="001D403D"/>
    <w:rsid w:val="001D4C27"/>
    <w:rsid w:val="001D52D0"/>
    <w:rsid w:val="001D698F"/>
    <w:rsid w:val="001D6C73"/>
    <w:rsid w:val="001D7E7C"/>
    <w:rsid w:val="001E0D52"/>
    <w:rsid w:val="001E1202"/>
    <w:rsid w:val="001E1899"/>
    <w:rsid w:val="001E23D3"/>
    <w:rsid w:val="001E265A"/>
    <w:rsid w:val="001E267E"/>
    <w:rsid w:val="001E346E"/>
    <w:rsid w:val="001E5BB9"/>
    <w:rsid w:val="001F03F0"/>
    <w:rsid w:val="001F07F6"/>
    <w:rsid w:val="001F09B7"/>
    <w:rsid w:val="001F257B"/>
    <w:rsid w:val="001F428F"/>
    <w:rsid w:val="001F56C3"/>
    <w:rsid w:val="001F5EE8"/>
    <w:rsid w:val="001F7D1B"/>
    <w:rsid w:val="00203546"/>
    <w:rsid w:val="00205E07"/>
    <w:rsid w:val="0020617C"/>
    <w:rsid w:val="00206184"/>
    <w:rsid w:val="0020626D"/>
    <w:rsid w:val="002065A6"/>
    <w:rsid w:val="0020740E"/>
    <w:rsid w:val="00210EED"/>
    <w:rsid w:val="00211047"/>
    <w:rsid w:val="00213093"/>
    <w:rsid w:val="0021456D"/>
    <w:rsid w:val="00214EC0"/>
    <w:rsid w:val="00215D0B"/>
    <w:rsid w:val="00216CCB"/>
    <w:rsid w:val="002170DE"/>
    <w:rsid w:val="0021785F"/>
    <w:rsid w:val="002202BD"/>
    <w:rsid w:val="002210DA"/>
    <w:rsid w:val="002214EA"/>
    <w:rsid w:val="00222BF6"/>
    <w:rsid w:val="00225335"/>
    <w:rsid w:val="0022534A"/>
    <w:rsid w:val="002254C7"/>
    <w:rsid w:val="00227C80"/>
    <w:rsid w:val="002300CF"/>
    <w:rsid w:val="00230403"/>
    <w:rsid w:val="00232315"/>
    <w:rsid w:val="00232834"/>
    <w:rsid w:val="00232B99"/>
    <w:rsid w:val="00233A48"/>
    <w:rsid w:val="002340E5"/>
    <w:rsid w:val="00234A55"/>
    <w:rsid w:val="002365A1"/>
    <w:rsid w:val="002370FA"/>
    <w:rsid w:val="00237942"/>
    <w:rsid w:val="0024203F"/>
    <w:rsid w:val="002429B2"/>
    <w:rsid w:val="002432B5"/>
    <w:rsid w:val="00246C94"/>
    <w:rsid w:val="00247524"/>
    <w:rsid w:val="00247F0E"/>
    <w:rsid w:val="002510DA"/>
    <w:rsid w:val="00252D57"/>
    <w:rsid w:val="00252D82"/>
    <w:rsid w:val="00254B12"/>
    <w:rsid w:val="00255815"/>
    <w:rsid w:val="0025616B"/>
    <w:rsid w:val="00256B7C"/>
    <w:rsid w:val="00257311"/>
    <w:rsid w:val="00257343"/>
    <w:rsid w:val="0025734E"/>
    <w:rsid w:val="002600FB"/>
    <w:rsid w:val="00260442"/>
    <w:rsid w:val="00263437"/>
    <w:rsid w:val="00263804"/>
    <w:rsid w:val="00263A9B"/>
    <w:rsid w:val="00264B2A"/>
    <w:rsid w:val="002659E1"/>
    <w:rsid w:val="00265A5D"/>
    <w:rsid w:val="00267F1A"/>
    <w:rsid w:val="0027105D"/>
    <w:rsid w:val="0027135C"/>
    <w:rsid w:val="002718E6"/>
    <w:rsid w:val="00271BC1"/>
    <w:rsid w:val="00271DFD"/>
    <w:rsid w:val="00272166"/>
    <w:rsid w:val="0027235C"/>
    <w:rsid w:val="0027359B"/>
    <w:rsid w:val="0027507B"/>
    <w:rsid w:val="00275EB0"/>
    <w:rsid w:val="00276288"/>
    <w:rsid w:val="002771D0"/>
    <w:rsid w:val="002829C3"/>
    <w:rsid w:val="00283CB6"/>
    <w:rsid w:val="00283E00"/>
    <w:rsid w:val="00283EE1"/>
    <w:rsid w:val="00283FFB"/>
    <w:rsid w:val="0028430D"/>
    <w:rsid w:val="002845C8"/>
    <w:rsid w:val="00285899"/>
    <w:rsid w:val="00287655"/>
    <w:rsid w:val="00287688"/>
    <w:rsid w:val="00287FC1"/>
    <w:rsid w:val="00290221"/>
    <w:rsid w:val="002914B6"/>
    <w:rsid w:val="00291FA2"/>
    <w:rsid w:val="00291FBB"/>
    <w:rsid w:val="00292A30"/>
    <w:rsid w:val="00294F14"/>
    <w:rsid w:val="00296264"/>
    <w:rsid w:val="00296F04"/>
    <w:rsid w:val="00297BB2"/>
    <w:rsid w:val="002A474E"/>
    <w:rsid w:val="002A4DC3"/>
    <w:rsid w:val="002A7446"/>
    <w:rsid w:val="002A7DC0"/>
    <w:rsid w:val="002A7F0E"/>
    <w:rsid w:val="002B33F4"/>
    <w:rsid w:val="002B499C"/>
    <w:rsid w:val="002B5DBF"/>
    <w:rsid w:val="002B65CD"/>
    <w:rsid w:val="002B7C69"/>
    <w:rsid w:val="002C26CE"/>
    <w:rsid w:val="002C2D33"/>
    <w:rsid w:val="002C2DC4"/>
    <w:rsid w:val="002C35B0"/>
    <w:rsid w:val="002C41D8"/>
    <w:rsid w:val="002C4BD6"/>
    <w:rsid w:val="002C56C2"/>
    <w:rsid w:val="002C5BF0"/>
    <w:rsid w:val="002D224E"/>
    <w:rsid w:val="002D287C"/>
    <w:rsid w:val="002D3033"/>
    <w:rsid w:val="002D3E0D"/>
    <w:rsid w:val="002D4E8E"/>
    <w:rsid w:val="002D74A5"/>
    <w:rsid w:val="002E2B09"/>
    <w:rsid w:val="002E326F"/>
    <w:rsid w:val="002E4699"/>
    <w:rsid w:val="002E59D2"/>
    <w:rsid w:val="002E7218"/>
    <w:rsid w:val="002E758E"/>
    <w:rsid w:val="002F40F0"/>
    <w:rsid w:val="002F5136"/>
    <w:rsid w:val="002F5679"/>
    <w:rsid w:val="002F5D58"/>
    <w:rsid w:val="002F6663"/>
    <w:rsid w:val="003021ED"/>
    <w:rsid w:val="00302CCE"/>
    <w:rsid w:val="003049F4"/>
    <w:rsid w:val="0030562A"/>
    <w:rsid w:val="003064EE"/>
    <w:rsid w:val="0030736F"/>
    <w:rsid w:val="00307676"/>
    <w:rsid w:val="00310313"/>
    <w:rsid w:val="00310858"/>
    <w:rsid w:val="003109CF"/>
    <w:rsid w:val="00310A23"/>
    <w:rsid w:val="00311C57"/>
    <w:rsid w:val="00312067"/>
    <w:rsid w:val="00312C83"/>
    <w:rsid w:val="00312C9B"/>
    <w:rsid w:val="003143FD"/>
    <w:rsid w:val="00314666"/>
    <w:rsid w:val="00314754"/>
    <w:rsid w:val="003152CC"/>
    <w:rsid w:val="00316004"/>
    <w:rsid w:val="00317923"/>
    <w:rsid w:val="00320ED2"/>
    <w:rsid w:val="00322502"/>
    <w:rsid w:val="0032285E"/>
    <w:rsid w:val="00322D81"/>
    <w:rsid w:val="00322E70"/>
    <w:rsid w:val="003230C1"/>
    <w:rsid w:val="00323D77"/>
    <w:rsid w:val="00325CCC"/>
    <w:rsid w:val="003268E0"/>
    <w:rsid w:val="00327AD2"/>
    <w:rsid w:val="00330372"/>
    <w:rsid w:val="00330CA1"/>
    <w:rsid w:val="003310B7"/>
    <w:rsid w:val="00331C0D"/>
    <w:rsid w:val="00331C81"/>
    <w:rsid w:val="00332986"/>
    <w:rsid w:val="00332C3A"/>
    <w:rsid w:val="00333B8D"/>
    <w:rsid w:val="00333DC4"/>
    <w:rsid w:val="0033452F"/>
    <w:rsid w:val="00334E2B"/>
    <w:rsid w:val="00335615"/>
    <w:rsid w:val="00336555"/>
    <w:rsid w:val="00340843"/>
    <w:rsid w:val="003439C3"/>
    <w:rsid w:val="00344E20"/>
    <w:rsid w:val="003467B8"/>
    <w:rsid w:val="003477E8"/>
    <w:rsid w:val="00351E4E"/>
    <w:rsid w:val="00352EA6"/>
    <w:rsid w:val="0035379F"/>
    <w:rsid w:val="00354F7C"/>
    <w:rsid w:val="00355872"/>
    <w:rsid w:val="003576B4"/>
    <w:rsid w:val="00357797"/>
    <w:rsid w:val="00357C12"/>
    <w:rsid w:val="00361634"/>
    <w:rsid w:val="003620B9"/>
    <w:rsid w:val="0036314F"/>
    <w:rsid w:val="00363D5D"/>
    <w:rsid w:val="00364EBF"/>
    <w:rsid w:val="003653FB"/>
    <w:rsid w:val="00365A38"/>
    <w:rsid w:val="00366D2D"/>
    <w:rsid w:val="00367A9F"/>
    <w:rsid w:val="00370937"/>
    <w:rsid w:val="00372385"/>
    <w:rsid w:val="003731F4"/>
    <w:rsid w:val="00373E32"/>
    <w:rsid w:val="00374404"/>
    <w:rsid w:val="00374BE8"/>
    <w:rsid w:val="00375130"/>
    <w:rsid w:val="00375936"/>
    <w:rsid w:val="00377E49"/>
    <w:rsid w:val="00382046"/>
    <w:rsid w:val="00383809"/>
    <w:rsid w:val="00383B18"/>
    <w:rsid w:val="003841B4"/>
    <w:rsid w:val="00385EAD"/>
    <w:rsid w:val="003865D4"/>
    <w:rsid w:val="00386728"/>
    <w:rsid w:val="0038699F"/>
    <w:rsid w:val="00386AFD"/>
    <w:rsid w:val="00386B49"/>
    <w:rsid w:val="003909D3"/>
    <w:rsid w:val="00393014"/>
    <w:rsid w:val="00393713"/>
    <w:rsid w:val="003939EE"/>
    <w:rsid w:val="003953DD"/>
    <w:rsid w:val="003967C6"/>
    <w:rsid w:val="00397075"/>
    <w:rsid w:val="00397A17"/>
    <w:rsid w:val="00397FF6"/>
    <w:rsid w:val="003A0BA7"/>
    <w:rsid w:val="003A204C"/>
    <w:rsid w:val="003A254F"/>
    <w:rsid w:val="003A48B3"/>
    <w:rsid w:val="003A6254"/>
    <w:rsid w:val="003A643C"/>
    <w:rsid w:val="003A7B86"/>
    <w:rsid w:val="003A7BC1"/>
    <w:rsid w:val="003B039C"/>
    <w:rsid w:val="003B05ED"/>
    <w:rsid w:val="003B1D3B"/>
    <w:rsid w:val="003B23C0"/>
    <w:rsid w:val="003B3865"/>
    <w:rsid w:val="003B3D84"/>
    <w:rsid w:val="003B4CCF"/>
    <w:rsid w:val="003B5289"/>
    <w:rsid w:val="003B57F0"/>
    <w:rsid w:val="003B70F5"/>
    <w:rsid w:val="003C06AC"/>
    <w:rsid w:val="003C270F"/>
    <w:rsid w:val="003C2D98"/>
    <w:rsid w:val="003C3BE7"/>
    <w:rsid w:val="003C3DE3"/>
    <w:rsid w:val="003C45BC"/>
    <w:rsid w:val="003C45ED"/>
    <w:rsid w:val="003C4EE8"/>
    <w:rsid w:val="003C541C"/>
    <w:rsid w:val="003C6FE7"/>
    <w:rsid w:val="003C76E9"/>
    <w:rsid w:val="003D04FC"/>
    <w:rsid w:val="003D1492"/>
    <w:rsid w:val="003D17EB"/>
    <w:rsid w:val="003D1D86"/>
    <w:rsid w:val="003D2891"/>
    <w:rsid w:val="003D2D04"/>
    <w:rsid w:val="003D345C"/>
    <w:rsid w:val="003D3813"/>
    <w:rsid w:val="003D4075"/>
    <w:rsid w:val="003D496E"/>
    <w:rsid w:val="003D53B7"/>
    <w:rsid w:val="003D6139"/>
    <w:rsid w:val="003D6F53"/>
    <w:rsid w:val="003E0124"/>
    <w:rsid w:val="003E021C"/>
    <w:rsid w:val="003E125F"/>
    <w:rsid w:val="003E279F"/>
    <w:rsid w:val="003E2BA5"/>
    <w:rsid w:val="003E44A4"/>
    <w:rsid w:val="003E6E59"/>
    <w:rsid w:val="003E7F48"/>
    <w:rsid w:val="003F0F83"/>
    <w:rsid w:val="003F2094"/>
    <w:rsid w:val="003F516A"/>
    <w:rsid w:val="003F5957"/>
    <w:rsid w:val="003F615C"/>
    <w:rsid w:val="003F700C"/>
    <w:rsid w:val="003F799E"/>
    <w:rsid w:val="003F7FDD"/>
    <w:rsid w:val="00400C6C"/>
    <w:rsid w:val="0040113D"/>
    <w:rsid w:val="00401991"/>
    <w:rsid w:val="0040299C"/>
    <w:rsid w:val="00403540"/>
    <w:rsid w:val="00404E65"/>
    <w:rsid w:val="0040685A"/>
    <w:rsid w:val="004079B9"/>
    <w:rsid w:val="00407CC6"/>
    <w:rsid w:val="00407FCC"/>
    <w:rsid w:val="004102DD"/>
    <w:rsid w:val="0041148C"/>
    <w:rsid w:val="004123F9"/>
    <w:rsid w:val="004132E2"/>
    <w:rsid w:val="0041394A"/>
    <w:rsid w:val="00416C35"/>
    <w:rsid w:val="00417875"/>
    <w:rsid w:val="00417A7D"/>
    <w:rsid w:val="00417FE7"/>
    <w:rsid w:val="00420833"/>
    <w:rsid w:val="00420D9A"/>
    <w:rsid w:val="00422275"/>
    <w:rsid w:val="00425A4F"/>
    <w:rsid w:val="004262C1"/>
    <w:rsid w:val="0042676E"/>
    <w:rsid w:val="00426C61"/>
    <w:rsid w:val="00426E9F"/>
    <w:rsid w:val="0042755F"/>
    <w:rsid w:val="00430131"/>
    <w:rsid w:val="00430CB9"/>
    <w:rsid w:val="00430FCF"/>
    <w:rsid w:val="00431ECB"/>
    <w:rsid w:val="00431FD7"/>
    <w:rsid w:val="00432D39"/>
    <w:rsid w:val="0043323C"/>
    <w:rsid w:val="004332E8"/>
    <w:rsid w:val="00433D0F"/>
    <w:rsid w:val="00434D4A"/>
    <w:rsid w:val="00435004"/>
    <w:rsid w:val="00435046"/>
    <w:rsid w:val="0043551A"/>
    <w:rsid w:val="0043567A"/>
    <w:rsid w:val="00436E2E"/>
    <w:rsid w:val="00440E7C"/>
    <w:rsid w:val="0044371A"/>
    <w:rsid w:val="0044438E"/>
    <w:rsid w:val="00444556"/>
    <w:rsid w:val="00444F17"/>
    <w:rsid w:val="004468AD"/>
    <w:rsid w:val="0044757C"/>
    <w:rsid w:val="004508F5"/>
    <w:rsid w:val="004514B6"/>
    <w:rsid w:val="00451768"/>
    <w:rsid w:val="00453CA5"/>
    <w:rsid w:val="00455450"/>
    <w:rsid w:val="0045786D"/>
    <w:rsid w:val="00457F79"/>
    <w:rsid w:val="004603B3"/>
    <w:rsid w:val="00461DC9"/>
    <w:rsid w:val="0046506F"/>
    <w:rsid w:val="004652DE"/>
    <w:rsid w:val="00465698"/>
    <w:rsid w:val="00465974"/>
    <w:rsid w:val="00466DC5"/>
    <w:rsid w:val="00466FF4"/>
    <w:rsid w:val="004711D9"/>
    <w:rsid w:val="004727C2"/>
    <w:rsid w:val="00472901"/>
    <w:rsid w:val="00473B03"/>
    <w:rsid w:val="00474A02"/>
    <w:rsid w:val="0047505C"/>
    <w:rsid w:val="00475A32"/>
    <w:rsid w:val="00475FDB"/>
    <w:rsid w:val="004806A6"/>
    <w:rsid w:val="0048099C"/>
    <w:rsid w:val="00480EAB"/>
    <w:rsid w:val="004822D9"/>
    <w:rsid w:val="00482D5B"/>
    <w:rsid w:val="00484D1A"/>
    <w:rsid w:val="00485246"/>
    <w:rsid w:val="004855B7"/>
    <w:rsid w:val="00485B2F"/>
    <w:rsid w:val="00486ADF"/>
    <w:rsid w:val="0049070A"/>
    <w:rsid w:val="004908D6"/>
    <w:rsid w:val="00490CD5"/>
    <w:rsid w:val="004913C2"/>
    <w:rsid w:val="00491B40"/>
    <w:rsid w:val="00491C9A"/>
    <w:rsid w:val="004928E9"/>
    <w:rsid w:val="0049540A"/>
    <w:rsid w:val="00496618"/>
    <w:rsid w:val="00496F9E"/>
    <w:rsid w:val="00497F1E"/>
    <w:rsid w:val="004A0FD0"/>
    <w:rsid w:val="004A1380"/>
    <w:rsid w:val="004A1CAE"/>
    <w:rsid w:val="004A4421"/>
    <w:rsid w:val="004A6250"/>
    <w:rsid w:val="004A6F91"/>
    <w:rsid w:val="004A71D6"/>
    <w:rsid w:val="004B08C2"/>
    <w:rsid w:val="004B345D"/>
    <w:rsid w:val="004B4680"/>
    <w:rsid w:val="004B4E56"/>
    <w:rsid w:val="004B55DC"/>
    <w:rsid w:val="004B6241"/>
    <w:rsid w:val="004B671E"/>
    <w:rsid w:val="004B6E58"/>
    <w:rsid w:val="004C1D97"/>
    <w:rsid w:val="004C285D"/>
    <w:rsid w:val="004C28BF"/>
    <w:rsid w:val="004C2D22"/>
    <w:rsid w:val="004C3A26"/>
    <w:rsid w:val="004C3F58"/>
    <w:rsid w:val="004C497D"/>
    <w:rsid w:val="004C4DF6"/>
    <w:rsid w:val="004C4E66"/>
    <w:rsid w:val="004C568F"/>
    <w:rsid w:val="004D0283"/>
    <w:rsid w:val="004D0444"/>
    <w:rsid w:val="004D1947"/>
    <w:rsid w:val="004D4F75"/>
    <w:rsid w:val="004D62B7"/>
    <w:rsid w:val="004D7051"/>
    <w:rsid w:val="004E0088"/>
    <w:rsid w:val="004E0148"/>
    <w:rsid w:val="004E0F00"/>
    <w:rsid w:val="004E11D3"/>
    <w:rsid w:val="004E38C2"/>
    <w:rsid w:val="004E3F2D"/>
    <w:rsid w:val="004E5C3A"/>
    <w:rsid w:val="004E5F54"/>
    <w:rsid w:val="004E60D7"/>
    <w:rsid w:val="004E713C"/>
    <w:rsid w:val="004E72B6"/>
    <w:rsid w:val="004E7E72"/>
    <w:rsid w:val="004F1F47"/>
    <w:rsid w:val="004F28B5"/>
    <w:rsid w:val="004F3956"/>
    <w:rsid w:val="004F47CA"/>
    <w:rsid w:val="004F51B9"/>
    <w:rsid w:val="004F7B94"/>
    <w:rsid w:val="005002AD"/>
    <w:rsid w:val="00500597"/>
    <w:rsid w:val="00501E06"/>
    <w:rsid w:val="00501E57"/>
    <w:rsid w:val="005022A4"/>
    <w:rsid w:val="00502F6B"/>
    <w:rsid w:val="0050492C"/>
    <w:rsid w:val="00505919"/>
    <w:rsid w:val="00505B9A"/>
    <w:rsid w:val="00510294"/>
    <w:rsid w:val="005108CF"/>
    <w:rsid w:val="00511AB1"/>
    <w:rsid w:val="005161EA"/>
    <w:rsid w:val="0051640B"/>
    <w:rsid w:val="00517BCA"/>
    <w:rsid w:val="00520C10"/>
    <w:rsid w:val="005228FA"/>
    <w:rsid w:val="0052511C"/>
    <w:rsid w:val="005263FF"/>
    <w:rsid w:val="005278F7"/>
    <w:rsid w:val="00527A57"/>
    <w:rsid w:val="005304DB"/>
    <w:rsid w:val="005307A1"/>
    <w:rsid w:val="00531450"/>
    <w:rsid w:val="005318BD"/>
    <w:rsid w:val="00531F07"/>
    <w:rsid w:val="00534302"/>
    <w:rsid w:val="00534ABF"/>
    <w:rsid w:val="0053600A"/>
    <w:rsid w:val="00536447"/>
    <w:rsid w:val="00537E01"/>
    <w:rsid w:val="005407EC"/>
    <w:rsid w:val="00541227"/>
    <w:rsid w:val="00545EA0"/>
    <w:rsid w:val="00546062"/>
    <w:rsid w:val="00546F93"/>
    <w:rsid w:val="00550993"/>
    <w:rsid w:val="005573D0"/>
    <w:rsid w:val="005606ED"/>
    <w:rsid w:val="0056104B"/>
    <w:rsid w:val="005618E8"/>
    <w:rsid w:val="00561B36"/>
    <w:rsid w:val="005621CD"/>
    <w:rsid w:val="00562694"/>
    <w:rsid w:val="00563049"/>
    <w:rsid w:val="005631AF"/>
    <w:rsid w:val="00563D99"/>
    <w:rsid w:val="00564147"/>
    <w:rsid w:val="005659C4"/>
    <w:rsid w:val="00565CEA"/>
    <w:rsid w:val="00566B1F"/>
    <w:rsid w:val="00570123"/>
    <w:rsid w:val="005725CC"/>
    <w:rsid w:val="00573966"/>
    <w:rsid w:val="00574137"/>
    <w:rsid w:val="005764DD"/>
    <w:rsid w:val="00576788"/>
    <w:rsid w:val="005767CD"/>
    <w:rsid w:val="00577699"/>
    <w:rsid w:val="0058036B"/>
    <w:rsid w:val="00582501"/>
    <w:rsid w:val="00584C62"/>
    <w:rsid w:val="00585219"/>
    <w:rsid w:val="005858BC"/>
    <w:rsid w:val="00585A6E"/>
    <w:rsid w:val="005872CF"/>
    <w:rsid w:val="00587DE3"/>
    <w:rsid w:val="005917BF"/>
    <w:rsid w:val="0059216D"/>
    <w:rsid w:val="0059329E"/>
    <w:rsid w:val="0059337E"/>
    <w:rsid w:val="00593AB4"/>
    <w:rsid w:val="0059436E"/>
    <w:rsid w:val="0059469C"/>
    <w:rsid w:val="005946BB"/>
    <w:rsid w:val="00594A9D"/>
    <w:rsid w:val="00595012"/>
    <w:rsid w:val="00595216"/>
    <w:rsid w:val="00596886"/>
    <w:rsid w:val="00597048"/>
    <w:rsid w:val="005974AD"/>
    <w:rsid w:val="005A0D65"/>
    <w:rsid w:val="005A29EA"/>
    <w:rsid w:val="005A3691"/>
    <w:rsid w:val="005A381F"/>
    <w:rsid w:val="005A4E1B"/>
    <w:rsid w:val="005A500F"/>
    <w:rsid w:val="005A5912"/>
    <w:rsid w:val="005A75CA"/>
    <w:rsid w:val="005B0FF8"/>
    <w:rsid w:val="005B100E"/>
    <w:rsid w:val="005B131C"/>
    <w:rsid w:val="005B22FF"/>
    <w:rsid w:val="005B43DF"/>
    <w:rsid w:val="005B488B"/>
    <w:rsid w:val="005B567A"/>
    <w:rsid w:val="005B60CA"/>
    <w:rsid w:val="005B6F40"/>
    <w:rsid w:val="005B7ADE"/>
    <w:rsid w:val="005C0BAF"/>
    <w:rsid w:val="005C1186"/>
    <w:rsid w:val="005C1916"/>
    <w:rsid w:val="005C1D92"/>
    <w:rsid w:val="005C389C"/>
    <w:rsid w:val="005C618E"/>
    <w:rsid w:val="005C7D27"/>
    <w:rsid w:val="005C7EC1"/>
    <w:rsid w:val="005D0307"/>
    <w:rsid w:val="005D1496"/>
    <w:rsid w:val="005D1D34"/>
    <w:rsid w:val="005D281F"/>
    <w:rsid w:val="005D31A2"/>
    <w:rsid w:val="005D33B9"/>
    <w:rsid w:val="005D33D4"/>
    <w:rsid w:val="005D3A98"/>
    <w:rsid w:val="005D44C5"/>
    <w:rsid w:val="005D4E60"/>
    <w:rsid w:val="005D51CE"/>
    <w:rsid w:val="005D6519"/>
    <w:rsid w:val="005D69B1"/>
    <w:rsid w:val="005D69BE"/>
    <w:rsid w:val="005E18C4"/>
    <w:rsid w:val="005E1BFF"/>
    <w:rsid w:val="005E233E"/>
    <w:rsid w:val="005E34E7"/>
    <w:rsid w:val="005E486B"/>
    <w:rsid w:val="005E4C79"/>
    <w:rsid w:val="005E67D4"/>
    <w:rsid w:val="005F0F1A"/>
    <w:rsid w:val="005F1CD9"/>
    <w:rsid w:val="005F1FAC"/>
    <w:rsid w:val="005F3AFD"/>
    <w:rsid w:val="005F4864"/>
    <w:rsid w:val="005F5975"/>
    <w:rsid w:val="00600871"/>
    <w:rsid w:val="0060129A"/>
    <w:rsid w:val="00601E6C"/>
    <w:rsid w:val="00602A8A"/>
    <w:rsid w:val="00603C06"/>
    <w:rsid w:val="00603EFD"/>
    <w:rsid w:val="006042F7"/>
    <w:rsid w:val="006045A6"/>
    <w:rsid w:val="00604C02"/>
    <w:rsid w:val="00605ACE"/>
    <w:rsid w:val="0060699A"/>
    <w:rsid w:val="00607630"/>
    <w:rsid w:val="006078A5"/>
    <w:rsid w:val="006102B7"/>
    <w:rsid w:val="00610810"/>
    <w:rsid w:val="006123DB"/>
    <w:rsid w:val="00612A44"/>
    <w:rsid w:val="00612D2A"/>
    <w:rsid w:val="00613F60"/>
    <w:rsid w:val="00615007"/>
    <w:rsid w:val="00615C4D"/>
    <w:rsid w:val="006171E7"/>
    <w:rsid w:val="00617371"/>
    <w:rsid w:val="006175A6"/>
    <w:rsid w:val="006177AD"/>
    <w:rsid w:val="00620E3B"/>
    <w:rsid w:val="0062135A"/>
    <w:rsid w:val="006215BF"/>
    <w:rsid w:val="0062333C"/>
    <w:rsid w:val="00623A59"/>
    <w:rsid w:val="006240B7"/>
    <w:rsid w:val="00624842"/>
    <w:rsid w:val="00624EED"/>
    <w:rsid w:val="006271C2"/>
    <w:rsid w:val="00627725"/>
    <w:rsid w:val="00627DD0"/>
    <w:rsid w:val="006304F0"/>
    <w:rsid w:val="00630CF0"/>
    <w:rsid w:val="00632BCD"/>
    <w:rsid w:val="00633934"/>
    <w:rsid w:val="0063662B"/>
    <w:rsid w:val="00637EB8"/>
    <w:rsid w:val="006400AC"/>
    <w:rsid w:val="0064074B"/>
    <w:rsid w:val="006425CF"/>
    <w:rsid w:val="00643A58"/>
    <w:rsid w:val="00644981"/>
    <w:rsid w:val="00644B5E"/>
    <w:rsid w:val="00644EFD"/>
    <w:rsid w:val="006451A5"/>
    <w:rsid w:val="006469D9"/>
    <w:rsid w:val="00646A0E"/>
    <w:rsid w:val="00650DD1"/>
    <w:rsid w:val="00650F70"/>
    <w:rsid w:val="006512DA"/>
    <w:rsid w:val="00652196"/>
    <w:rsid w:val="006525F4"/>
    <w:rsid w:val="0065459D"/>
    <w:rsid w:val="00656311"/>
    <w:rsid w:val="006564D5"/>
    <w:rsid w:val="00657592"/>
    <w:rsid w:val="00657F1D"/>
    <w:rsid w:val="00661B43"/>
    <w:rsid w:val="00663E17"/>
    <w:rsid w:val="00665934"/>
    <w:rsid w:val="00667866"/>
    <w:rsid w:val="006678C8"/>
    <w:rsid w:val="00667CED"/>
    <w:rsid w:val="0067032B"/>
    <w:rsid w:val="00670419"/>
    <w:rsid w:val="00672BD6"/>
    <w:rsid w:val="00672C57"/>
    <w:rsid w:val="00674871"/>
    <w:rsid w:val="00675615"/>
    <w:rsid w:val="0067593E"/>
    <w:rsid w:val="006770E5"/>
    <w:rsid w:val="00677CFC"/>
    <w:rsid w:val="006802D0"/>
    <w:rsid w:val="00681536"/>
    <w:rsid w:val="00681F89"/>
    <w:rsid w:val="00683473"/>
    <w:rsid w:val="006849EE"/>
    <w:rsid w:val="00685C0D"/>
    <w:rsid w:val="006912DB"/>
    <w:rsid w:val="00691E90"/>
    <w:rsid w:val="00693AB6"/>
    <w:rsid w:val="00694A8C"/>
    <w:rsid w:val="00695F1E"/>
    <w:rsid w:val="00697C5F"/>
    <w:rsid w:val="006A0CF7"/>
    <w:rsid w:val="006A38AE"/>
    <w:rsid w:val="006A433B"/>
    <w:rsid w:val="006A4AB1"/>
    <w:rsid w:val="006A4EDC"/>
    <w:rsid w:val="006A7651"/>
    <w:rsid w:val="006A7E3A"/>
    <w:rsid w:val="006B007F"/>
    <w:rsid w:val="006B1765"/>
    <w:rsid w:val="006B187A"/>
    <w:rsid w:val="006B1898"/>
    <w:rsid w:val="006B34CE"/>
    <w:rsid w:val="006B36FB"/>
    <w:rsid w:val="006B42DE"/>
    <w:rsid w:val="006B456D"/>
    <w:rsid w:val="006B5D73"/>
    <w:rsid w:val="006B5D86"/>
    <w:rsid w:val="006B688C"/>
    <w:rsid w:val="006B7650"/>
    <w:rsid w:val="006C13AD"/>
    <w:rsid w:val="006C18A0"/>
    <w:rsid w:val="006C2831"/>
    <w:rsid w:val="006C33CF"/>
    <w:rsid w:val="006C3590"/>
    <w:rsid w:val="006C3784"/>
    <w:rsid w:val="006C3EEA"/>
    <w:rsid w:val="006C476A"/>
    <w:rsid w:val="006C4C92"/>
    <w:rsid w:val="006C517B"/>
    <w:rsid w:val="006C712A"/>
    <w:rsid w:val="006C7434"/>
    <w:rsid w:val="006D0211"/>
    <w:rsid w:val="006D0EC0"/>
    <w:rsid w:val="006D2B50"/>
    <w:rsid w:val="006D3CE1"/>
    <w:rsid w:val="006D4BDC"/>
    <w:rsid w:val="006D4D91"/>
    <w:rsid w:val="006D5A4F"/>
    <w:rsid w:val="006D6178"/>
    <w:rsid w:val="006E09FF"/>
    <w:rsid w:val="006E1A0D"/>
    <w:rsid w:val="006E1A27"/>
    <w:rsid w:val="006E1FE8"/>
    <w:rsid w:val="006E201C"/>
    <w:rsid w:val="006E278F"/>
    <w:rsid w:val="006E2B31"/>
    <w:rsid w:val="006E3116"/>
    <w:rsid w:val="006E4277"/>
    <w:rsid w:val="006E5C5C"/>
    <w:rsid w:val="006E6F4E"/>
    <w:rsid w:val="006E71B9"/>
    <w:rsid w:val="006F15E5"/>
    <w:rsid w:val="006F1811"/>
    <w:rsid w:val="006F20A2"/>
    <w:rsid w:val="006F243D"/>
    <w:rsid w:val="006F2CE5"/>
    <w:rsid w:val="006F2E0A"/>
    <w:rsid w:val="006F32CD"/>
    <w:rsid w:val="006F3C5E"/>
    <w:rsid w:val="006F5717"/>
    <w:rsid w:val="006F5947"/>
    <w:rsid w:val="006F59F8"/>
    <w:rsid w:val="006F7847"/>
    <w:rsid w:val="006F7F5F"/>
    <w:rsid w:val="00702866"/>
    <w:rsid w:val="00703220"/>
    <w:rsid w:val="00703D26"/>
    <w:rsid w:val="0070693B"/>
    <w:rsid w:val="00706ACB"/>
    <w:rsid w:val="00706C3E"/>
    <w:rsid w:val="0071030D"/>
    <w:rsid w:val="0071121E"/>
    <w:rsid w:val="007122FE"/>
    <w:rsid w:val="007127CB"/>
    <w:rsid w:val="00712950"/>
    <w:rsid w:val="007158BE"/>
    <w:rsid w:val="00715BBD"/>
    <w:rsid w:val="007162DF"/>
    <w:rsid w:val="00717F58"/>
    <w:rsid w:val="0072051A"/>
    <w:rsid w:val="007212E9"/>
    <w:rsid w:val="0072325C"/>
    <w:rsid w:val="0072386C"/>
    <w:rsid w:val="007242DC"/>
    <w:rsid w:val="007242F9"/>
    <w:rsid w:val="00724AD6"/>
    <w:rsid w:val="00724D4F"/>
    <w:rsid w:val="00730CF6"/>
    <w:rsid w:val="0073157B"/>
    <w:rsid w:val="00732886"/>
    <w:rsid w:val="00732B1D"/>
    <w:rsid w:val="007337CE"/>
    <w:rsid w:val="007338BA"/>
    <w:rsid w:val="00735BC7"/>
    <w:rsid w:val="00735DE0"/>
    <w:rsid w:val="00737549"/>
    <w:rsid w:val="00737720"/>
    <w:rsid w:val="00737B5A"/>
    <w:rsid w:val="00737BC7"/>
    <w:rsid w:val="00737FB6"/>
    <w:rsid w:val="00740112"/>
    <w:rsid w:val="00740269"/>
    <w:rsid w:val="00743189"/>
    <w:rsid w:val="007440C5"/>
    <w:rsid w:val="00744B38"/>
    <w:rsid w:val="0074521E"/>
    <w:rsid w:val="00747149"/>
    <w:rsid w:val="0075094B"/>
    <w:rsid w:val="00752A84"/>
    <w:rsid w:val="007534E0"/>
    <w:rsid w:val="00754795"/>
    <w:rsid w:val="00755217"/>
    <w:rsid w:val="00755652"/>
    <w:rsid w:val="00755916"/>
    <w:rsid w:val="00756D05"/>
    <w:rsid w:val="00762462"/>
    <w:rsid w:val="00762E6A"/>
    <w:rsid w:val="00763D8C"/>
    <w:rsid w:val="00763FF2"/>
    <w:rsid w:val="00764F90"/>
    <w:rsid w:val="00766224"/>
    <w:rsid w:val="00767528"/>
    <w:rsid w:val="007711C9"/>
    <w:rsid w:val="00771E18"/>
    <w:rsid w:val="00772093"/>
    <w:rsid w:val="00773690"/>
    <w:rsid w:val="00773CE7"/>
    <w:rsid w:val="007746E5"/>
    <w:rsid w:val="00775031"/>
    <w:rsid w:val="007755EE"/>
    <w:rsid w:val="00775DA1"/>
    <w:rsid w:val="00776243"/>
    <w:rsid w:val="00776D16"/>
    <w:rsid w:val="007774E6"/>
    <w:rsid w:val="00780763"/>
    <w:rsid w:val="00781E91"/>
    <w:rsid w:val="00783C7C"/>
    <w:rsid w:val="00783F08"/>
    <w:rsid w:val="00784617"/>
    <w:rsid w:val="00784AE4"/>
    <w:rsid w:val="00784FB6"/>
    <w:rsid w:val="00784FFD"/>
    <w:rsid w:val="00785AE0"/>
    <w:rsid w:val="00786820"/>
    <w:rsid w:val="00787584"/>
    <w:rsid w:val="00790F18"/>
    <w:rsid w:val="00792F11"/>
    <w:rsid w:val="00795D3A"/>
    <w:rsid w:val="00796763"/>
    <w:rsid w:val="007A0C5A"/>
    <w:rsid w:val="007A1BD2"/>
    <w:rsid w:val="007A24C3"/>
    <w:rsid w:val="007A37C3"/>
    <w:rsid w:val="007A4127"/>
    <w:rsid w:val="007A4B86"/>
    <w:rsid w:val="007A61FD"/>
    <w:rsid w:val="007A685A"/>
    <w:rsid w:val="007A7543"/>
    <w:rsid w:val="007A7E57"/>
    <w:rsid w:val="007B04C9"/>
    <w:rsid w:val="007B0A8B"/>
    <w:rsid w:val="007B0E60"/>
    <w:rsid w:val="007B1863"/>
    <w:rsid w:val="007B37E8"/>
    <w:rsid w:val="007B3D82"/>
    <w:rsid w:val="007B44D9"/>
    <w:rsid w:val="007B5C52"/>
    <w:rsid w:val="007C1837"/>
    <w:rsid w:val="007C1F0D"/>
    <w:rsid w:val="007C2F50"/>
    <w:rsid w:val="007C46D1"/>
    <w:rsid w:val="007C563A"/>
    <w:rsid w:val="007C5B98"/>
    <w:rsid w:val="007C6C77"/>
    <w:rsid w:val="007D0291"/>
    <w:rsid w:val="007D0A36"/>
    <w:rsid w:val="007D2EF5"/>
    <w:rsid w:val="007D3463"/>
    <w:rsid w:val="007D4BFA"/>
    <w:rsid w:val="007D6275"/>
    <w:rsid w:val="007D7789"/>
    <w:rsid w:val="007E1D6A"/>
    <w:rsid w:val="007E2D0C"/>
    <w:rsid w:val="007E2DF3"/>
    <w:rsid w:val="007E3823"/>
    <w:rsid w:val="007E38C4"/>
    <w:rsid w:val="007E4753"/>
    <w:rsid w:val="007E5784"/>
    <w:rsid w:val="007F11D1"/>
    <w:rsid w:val="007F1695"/>
    <w:rsid w:val="007F2036"/>
    <w:rsid w:val="007F2824"/>
    <w:rsid w:val="007F3886"/>
    <w:rsid w:val="007F3D51"/>
    <w:rsid w:val="007F43AD"/>
    <w:rsid w:val="007F4F77"/>
    <w:rsid w:val="007F5DE2"/>
    <w:rsid w:val="007F5E47"/>
    <w:rsid w:val="007F6AAC"/>
    <w:rsid w:val="007F7390"/>
    <w:rsid w:val="008002ED"/>
    <w:rsid w:val="00800561"/>
    <w:rsid w:val="00801CE1"/>
    <w:rsid w:val="00801FC7"/>
    <w:rsid w:val="008022F7"/>
    <w:rsid w:val="008025A2"/>
    <w:rsid w:val="0080269C"/>
    <w:rsid w:val="00802EF7"/>
    <w:rsid w:val="00804C87"/>
    <w:rsid w:val="008058FC"/>
    <w:rsid w:val="00807F4A"/>
    <w:rsid w:val="008102A0"/>
    <w:rsid w:val="00811A07"/>
    <w:rsid w:val="00812F21"/>
    <w:rsid w:val="008136D5"/>
    <w:rsid w:val="00813BE1"/>
    <w:rsid w:val="00814058"/>
    <w:rsid w:val="00815F47"/>
    <w:rsid w:val="00816107"/>
    <w:rsid w:val="0081744F"/>
    <w:rsid w:val="00820D54"/>
    <w:rsid w:val="00822604"/>
    <w:rsid w:val="008241D3"/>
    <w:rsid w:val="008248C4"/>
    <w:rsid w:val="008272EE"/>
    <w:rsid w:val="008274E7"/>
    <w:rsid w:val="00831F63"/>
    <w:rsid w:val="008321A8"/>
    <w:rsid w:val="008324BE"/>
    <w:rsid w:val="008338CF"/>
    <w:rsid w:val="008350F3"/>
    <w:rsid w:val="0083555D"/>
    <w:rsid w:val="0083616A"/>
    <w:rsid w:val="00836481"/>
    <w:rsid w:val="00836F14"/>
    <w:rsid w:val="00837426"/>
    <w:rsid w:val="00837F37"/>
    <w:rsid w:val="00841A2C"/>
    <w:rsid w:val="00842C7B"/>
    <w:rsid w:val="008446B1"/>
    <w:rsid w:val="008449B5"/>
    <w:rsid w:val="00846C0C"/>
    <w:rsid w:val="00847141"/>
    <w:rsid w:val="00847320"/>
    <w:rsid w:val="008476C1"/>
    <w:rsid w:val="00847E91"/>
    <w:rsid w:val="008515E4"/>
    <w:rsid w:val="00851ABE"/>
    <w:rsid w:val="00852597"/>
    <w:rsid w:val="0085563E"/>
    <w:rsid w:val="00860573"/>
    <w:rsid w:val="00860C76"/>
    <w:rsid w:val="00860FE9"/>
    <w:rsid w:val="008610C5"/>
    <w:rsid w:val="00861618"/>
    <w:rsid w:val="00862ADA"/>
    <w:rsid w:val="00863A3B"/>
    <w:rsid w:val="00863B7C"/>
    <w:rsid w:val="00864327"/>
    <w:rsid w:val="00864A78"/>
    <w:rsid w:val="0086676A"/>
    <w:rsid w:val="00866CEF"/>
    <w:rsid w:val="00867992"/>
    <w:rsid w:val="00871A9D"/>
    <w:rsid w:val="00871BE9"/>
    <w:rsid w:val="00871C0F"/>
    <w:rsid w:val="0087375A"/>
    <w:rsid w:val="00874A28"/>
    <w:rsid w:val="00875B99"/>
    <w:rsid w:val="00877433"/>
    <w:rsid w:val="00877598"/>
    <w:rsid w:val="00877736"/>
    <w:rsid w:val="00877882"/>
    <w:rsid w:val="00877B1D"/>
    <w:rsid w:val="00880EB7"/>
    <w:rsid w:val="00881D44"/>
    <w:rsid w:val="00881FB6"/>
    <w:rsid w:val="00883095"/>
    <w:rsid w:val="00883B10"/>
    <w:rsid w:val="00885062"/>
    <w:rsid w:val="00886A4F"/>
    <w:rsid w:val="00886E91"/>
    <w:rsid w:val="00887117"/>
    <w:rsid w:val="00890F6C"/>
    <w:rsid w:val="008910CB"/>
    <w:rsid w:val="008912F0"/>
    <w:rsid w:val="0089204F"/>
    <w:rsid w:val="008924A5"/>
    <w:rsid w:val="00892C91"/>
    <w:rsid w:val="00893712"/>
    <w:rsid w:val="0089553A"/>
    <w:rsid w:val="00896111"/>
    <w:rsid w:val="0089655E"/>
    <w:rsid w:val="00896AFA"/>
    <w:rsid w:val="00897203"/>
    <w:rsid w:val="008976A4"/>
    <w:rsid w:val="00897798"/>
    <w:rsid w:val="00897E1D"/>
    <w:rsid w:val="008A4850"/>
    <w:rsid w:val="008A4889"/>
    <w:rsid w:val="008B4E5A"/>
    <w:rsid w:val="008B5488"/>
    <w:rsid w:val="008B6889"/>
    <w:rsid w:val="008B6FD5"/>
    <w:rsid w:val="008C0D5C"/>
    <w:rsid w:val="008C0E70"/>
    <w:rsid w:val="008C258C"/>
    <w:rsid w:val="008C2C48"/>
    <w:rsid w:val="008C30E0"/>
    <w:rsid w:val="008C35AE"/>
    <w:rsid w:val="008C458B"/>
    <w:rsid w:val="008C47CC"/>
    <w:rsid w:val="008C4ABD"/>
    <w:rsid w:val="008C6038"/>
    <w:rsid w:val="008C6893"/>
    <w:rsid w:val="008C761B"/>
    <w:rsid w:val="008C7655"/>
    <w:rsid w:val="008D0F23"/>
    <w:rsid w:val="008D15EE"/>
    <w:rsid w:val="008D23E2"/>
    <w:rsid w:val="008D3F90"/>
    <w:rsid w:val="008D601A"/>
    <w:rsid w:val="008D6030"/>
    <w:rsid w:val="008D66FC"/>
    <w:rsid w:val="008D6776"/>
    <w:rsid w:val="008D69B1"/>
    <w:rsid w:val="008D6E75"/>
    <w:rsid w:val="008D708E"/>
    <w:rsid w:val="008D77CC"/>
    <w:rsid w:val="008E14BB"/>
    <w:rsid w:val="008E194C"/>
    <w:rsid w:val="008E25C9"/>
    <w:rsid w:val="008E3570"/>
    <w:rsid w:val="008E4399"/>
    <w:rsid w:val="008E4711"/>
    <w:rsid w:val="008E4ED7"/>
    <w:rsid w:val="008E61B5"/>
    <w:rsid w:val="008E65F7"/>
    <w:rsid w:val="008E6B4A"/>
    <w:rsid w:val="008F1587"/>
    <w:rsid w:val="008F2D3E"/>
    <w:rsid w:val="008F2DAE"/>
    <w:rsid w:val="008F3FE1"/>
    <w:rsid w:val="008F4559"/>
    <w:rsid w:val="008F56C2"/>
    <w:rsid w:val="008F675C"/>
    <w:rsid w:val="008F6A0C"/>
    <w:rsid w:val="008F7212"/>
    <w:rsid w:val="008F72CA"/>
    <w:rsid w:val="008F751F"/>
    <w:rsid w:val="008F7F7B"/>
    <w:rsid w:val="00900397"/>
    <w:rsid w:val="009005BA"/>
    <w:rsid w:val="0090133F"/>
    <w:rsid w:val="00901A56"/>
    <w:rsid w:val="00901B0E"/>
    <w:rsid w:val="0090265D"/>
    <w:rsid w:val="00902B44"/>
    <w:rsid w:val="0090361B"/>
    <w:rsid w:val="009039A0"/>
    <w:rsid w:val="00903AE4"/>
    <w:rsid w:val="0090590D"/>
    <w:rsid w:val="00906004"/>
    <w:rsid w:val="009074F3"/>
    <w:rsid w:val="00907D22"/>
    <w:rsid w:val="00911B1B"/>
    <w:rsid w:val="00911E46"/>
    <w:rsid w:val="009121A2"/>
    <w:rsid w:val="00912250"/>
    <w:rsid w:val="00915E02"/>
    <w:rsid w:val="009163CA"/>
    <w:rsid w:val="009215BE"/>
    <w:rsid w:val="00921B5B"/>
    <w:rsid w:val="0092323F"/>
    <w:rsid w:val="00923ED5"/>
    <w:rsid w:val="009244C6"/>
    <w:rsid w:val="00924C09"/>
    <w:rsid w:val="00924EA4"/>
    <w:rsid w:val="00925905"/>
    <w:rsid w:val="00925C3B"/>
    <w:rsid w:val="00926009"/>
    <w:rsid w:val="00926A4C"/>
    <w:rsid w:val="00926C8B"/>
    <w:rsid w:val="0092770E"/>
    <w:rsid w:val="009278DD"/>
    <w:rsid w:val="00930BFF"/>
    <w:rsid w:val="009313DB"/>
    <w:rsid w:val="00932D07"/>
    <w:rsid w:val="00932F80"/>
    <w:rsid w:val="00933AAD"/>
    <w:rsid w:val="0093605F"/>
    <w:rsid w:val="00936196"/>
    <w:rsid w:val="00936A6B"/>
    <w:rsid w:val="00936D55"/>
    <w:rsid w:val="00937B92"/>
    <w:rsid w:val="0094086F"/>
    <w:rsid w:val="00940F47"/>
    <w:rsid w:val="00941DF9"/>
    <w:rsid w:val="009422F2"/>
    <w:rsid w:val="00942E35"/>
    <w:rsid w:val="00943AA5"/>
    <w:rsid w:val="009459DD"/>
    <w:rsid w:val="00945FDA"/>
    <w:rsid w:val="0094692D"/>
    <w:rsid w:val="00946D86"/>
    <w:rsid w:val="00950B18"/>
    <w:rsid w:val="0095174D"/>
    <w:rsid w:val="00951B73"/>
    <w:rsid w:val="009532A7"/>
    <w:rsid w:val="00960D68"/>
    <w:rsid w:val="009615B3"/>
    <w:rsid w:val="00961606"/>
    <w:rsid w:val="00962ACD"/>
    <w:rsid w:val="00963099"/>
    <w:rsid w:val="009630B6"/>
    <w:rsid w:val="00963B7F"/>
    <w:rsid w:val="00963EC0"/>
    <w:rsid w:val="00964246"/>
    <w:rsid w:val="0096442F"/>
    <w:rsid w:val="00965162"/>
    <w:rsid w:val="00965314"/>
    <w:rsid w:val="00965C50"/>
    <w:rsid w:val="00965D68"/>
    <w:rsid w:val="009660F9"/>
    <w:rsid w:val="00966F89"/>
    <w:rsid w:val="00970920"/>
    <w:rsid w:val="00972114"/>
    <w:rsid w:val="00972F11"/>
    <w:rsid w:val="00975429"/>
    <w:rsid w:val="0097619B"/>
    <w:rsid w:val="00976948"/>
    <w:rsid w:val="00976B27"/>
    <w:rsid w:val="00976F0A"/>
    <w:rsid w:val="0098018E"/>
    <w:rsid w:val="009814D1"/>
    <w:rsid w:val="009817D1"/>
    <w:rsid w:val="00981975"/>
    <w:rsid w:val="00984467"/>
    <w:rsid w:val="00984DDE"/>
    <w:rsid w:val="00987461"/>
    <w:rsid w:val="0099162A"/>
    <w:rsid w:val="00991AB0"/>
    <w:rsid w:val="00991F5E"/>
    <w:rsid w:val="00992C06"/>
    <w:rsid w:val="00993942"/>
    <w:rsid w:val="009957A8"/>
    <w:rsid w:val="00995DE2"/>
    <w:rsid w:val="009A067B"/>
    <w:rsid w:val="009A09F3"/>
    <w:rsid w:val="009A2360"/>
    <w:rsid w:val="009A2429"/>
    <w:rsid w:val="009A2756"/>
    <w:rsid w:val="009A28FB"/>
    <w:rsid w:val="009A2F0B"/>
    <w:rsid w:val="009A3129"/>
    <w:rsid w:val="009A4C00"/>
    <w:rsid w:val="009A5EC2"/>
    <w:rsid w:val="009A6800"/>
    <w:rsid w:val="009A693C"/>
    <w:rsid w:val="009A77C4"/>
    <w:rsid w:val="009A7A8B"/>
    <w:rsid w:val="009B1007"/>
    <w:rsid w:val="009B180E"/>
    <w:rsid w:val="009B28CE"/>
    <w:rsid w:val="009B330D"/>
    <w:rsid w:val="009B4566"/>
    <w:rsid w:val="009B74B4"/>
    <w:rsid w:val="009B7EFF"/>
    <w:rsid w:val="009C0C66"/>
    <w:rsid w:val="009C13D9"/>
    <w:rsid w:val="009C1542"/>
    <w:rsid w:val="009C4D11"/>
    <w:rsid w:val="009C5647"/>
    <w:rsid w:val="009C5DF3"/>
    <w:rsid w:val="009C7AEB"/>
    <w:rsid w:val="009C7B20"/>
    <w:rsid w:val="009D0131"/>
    <w:rsid w:val="009D0BA0"/>
    <w:rsid w:val="009D0DF0"/>
    <w:rsid w:val="009D0F87"/>
    <w:rsid w:val="009D26D7"/>
    <w:rsid w:val="009D34CB"/>
    <w:rsid w:val="009D38F9"/>
    <w:rsid w:val="009D423D"/>
    <w:rsid w:val="009D535D"/>
    <w:rsid w:val="009D5A79"/>
    <w:rsid w:val="009D63A3"/>
    <w:rsid w:val="009D7046"/>
    <w:rsid w:val="009E090D"/>
    <w:rsid w:val="009E171D"/>
    <w:rsid w:val="009E2AAB"/>
    <w:rsid w:val="009E37D6"/>
    <w:rsid w:val="009E523A"/>
    <w:rsid w:val="009E6001"/>
    <w:rsid w:val="009E7C3B"/>
    <w:rsid w:val="009E7D8D"/>
    <w:rsid w:val="009F018F"/>
    <w:rsid w:val="009F0CD9"/>
    <w:rsid w:val="009F2A8E"/>
    <w:rsid w:val="009F3651"/>
    <w:rsid w:val="009F37AA"/>
    <w:rsid w:val="009F3853"/>
    <w:rsid w:val="009F3E1B"/>
    <w:rsid w:val="009F5A8C"/>
    <w:rsid w:val="009F5BD8"/>
    <w:rsid w:val="009F5D63"/>
    <w:rsid w:val="009F75B5"/>
    <w:rsid w:val="00A00CF2"/>
    <w:rsid w:val="00A01927"/>
    <w:rsid w:val="00A019EA"/>
    <w:rsid w:val="00A02197"/>
    <w:rsid w:val="00A03653"/>
    <w:rsid w:val="00A036EC"/>
    <w:rsid w:val="00A0418A"/>
    <w:rsid w:val="00A04EFA"/>
    <w:rsid w:val="00A05D17"/>
    <w:rsid w:val="00A06A19"/>
    <w:rsid w:val="00A06AF0"/>
    <w:rsid w:val="00A10088"/>
    <w:rsid w:val="00A14DD6"/>
    <w:rsid w:val="00A1548E"/>
    <w:rsid w:val="00A15FAC"/>
    <w:rsid w:val="00A16741"/>
    <w:rsid w:val="00A21AA3"/>
    <w:rsid w:val="00A227A7"/>
    <w:rsid w:val="00A23929"/>
    <w:rsid w:val="00A23E0D"/>
    <w:rsid w:val="00A23EEC"/>
    <w:rsid w:val="00A2450B"/>
    <w:rsid w:val="00A253BD"/>
    <w:rsid w:val="00A25468"/>
    <w:rsid w:val="00A25E2B"/>
    <w:rsid w:val="00A302A4"/>
    <w:rsid w:val="00A3070E"/>
    <w:rsid w:val="00A309A8"/>
    <w:rsid w:val="00A315FA"/>
    <w:rsid w:val="00A319D4"/>
    <w:rsid w:val="00A3259E"/>
    <w:rsid w:val="00A32616"/>
    <w:rsid w:val="00A337FF"/>
    <w:rsid w:val="00A33C9C"/>
    <w:rsid w:val="00A34F80"/>
    <w:rsid w:val="00A36FA5"/>
    <w:rsid w:val="00A374CB"/>
    <w:rsid w:val="00A37663"/>
    <w:rsid w:val="00A3772C"/>
    <w:rsid w:val="00A41BCD"/>
    <w:rsid w:val="00A42858"/>
    <w:rsid w:val="00A4466C"/>
    <w:rsid w:val="00A46A97"/>
    <w:rsid w:val="00A476FB"/>
    <w:rsid w:val="00A47775"/>
    <w:rsid w:val="00A5467F"/>
    <w:rsid w:val="00A54D09"/>
    <w:rsid w:val="00A55352"/>
    <w:rsid w:val="00A5567F"/>
    <w:rsid w:val="00A55986"/>
    <w:rsid w:val="00A55B8D"/>
    <w:rsid w:val="00A55D65"/>
    <w:rsid w:val="00A57070"/>
    <w:rsid w:val="00A5757F"/>
    <w:rsid w:val="00A57DD7"/>
    <w:rsid w:val="00A61840"/>
    <w:rsid w:val="00A64512"/>
    <w:rsid w:val="00A66A31"/>
    <w:rsid w:val="00A66C1F"/>
    <w:rsid w:val="00A66CD7"/>
    <w:rsid w:val="00A677CB"/>
    <w:rsid w:val="00A710B7"/>
    <w:rsid w:val="00A717DB"/>
    <w:rsid w:val="00A72D7E"/>
    <w:rsid w:val="00A735DB"/>
    <w:rsid w:val="00A73982"/>
    <w:rsid w:val="00A73C28"/>
    <w:rsid w:val="00A74A13"/>
    <w:rsid w:val="00A74CFF"/>
    <w:rsid w:val="00A74E5E"/>
    <w:rsid w:val="00A7503C"/>
    <w:rsid w:val="00A75175"/>
    <w:rsid w:val="00A751B6"/>
    <w:rsid w:val="00A765B2"/>
    <w:rsid w:val="00A77023"/>
    <w:rsid w:val="00A800FD"/>
    <w:rsid w:val="00A81388"/>
    <w:rsid w:val="00A81635"/>
    <w:rsid w:val="00A8230C"/>
    <w:rsid w:val="00A82854"/>
    <w:rsid w:val="00A87DF4"/>
    <w:rsid w:val="00A87F5F"/>
    <w:rsid w:val="00A9006D"/>
    <w:rsid w:val="00A91167"/>
    <w:rsid w:val="00A91D6F"/>
    <w:rsid w:val="00A929F0"/>
    <w:rsid w:val="00A938B0"/>
    <w:rsid w:val="00A94F51"/>
    <w:rsid w:val="00A95028"/>
    <w:rsid w:val="00A959DF"/>
    <w:rsid w:val="00A965B5"/>
    <w:rsid w:val="00A96A41"/>
    <w:rsid w:val="00A970EA"/>
    <w:rsid w:val="00AA0245"/>
    <w:rsid w:val="00AA02FB"/>
    <w:rsid w:val="00AA26AB"/>
    <w:rsid w:val="00AA2DE6"/>
    <w:rsid w:val="00AA3D0A"/>
    <w:rsid w:val="00AA6284"/>
    <w:rsid w:val="00AA7352"/>
    <w:rsid w:val="00AA797D"/>
    <w:rsid w:val="00AB06A0"/>
    <w:rsid w:val="00AB0C83"/>
    <w:rsid w:val="00AB21A6"/>
    <w:rsid w:val="00AB33BC"/>
    <w:rsid w:val="00AB3999"/>
    <w:rsid w:val="00AB3B6C"/>
    <w:rsid w:val="00AB3E60"/>
    <w:rsid w:val="00AB4074"/>
    <w:rsid w:val="00AB4B72"/>
    <w:rsid w:val="00AB5C31"/>
    <w:rsid w:val="00AC03E7"/>
    <w:rsid w:val="00AC0758"/>
    <w:rsid w:val="00AC162A"/>
    <w:rsid w:val="00AC1753"/>
    <w:rsid w:val="00AC41D7"/>
    <w:rsid w:val="00AC5804"/>
    <w:rsid w:val="00AC5D60"/>
    <w:rsid w:val="00AC65C5"/>
    <w:rsid w:val="00AD0501"/>
    <w:rsid w:val="00AD08A3"/>
    <w:rsid w:val="00AD2F9B"/>
    <w:rsid w:val="00AD313D"/>
    <w:rsid w:val="00AD33D8"/>
    <w:rsid w:val="00AD40B6"/>
    <w:rsid w:val="00AD54F8"/>
    <w:rsid w:val="00AD5D49"/>
    <w:rsid w:val="00AD6B7C"/>
    <w:rsid w:val="00AD6F03"/>
    <w:rsid w:val="00AD7227"/>
    <w:rsid w:val="00AD74F8"/>
    <w:rsid w:val="00AD76A9"/>
    <w:rsid w:val="00AE257D"/>
    <w:rsid w:val="00AE2CE4"/>
    <w:rsid w:val="00AE3178"/>
    <w:rsid w:val="00AE3215"/>
    <w:rsid w:val="00AE363E"/>
    <w:rsid w:val="00AE4547"/>
    <w:rsid w:val="00AE46D9"/>
    <w:rsid w:val="00AE51B1"/>
    <w:rsid w:val="00AE5751"/>
    <w:rsid w:val="00AF0498"/>
    <w:rsid w:val="00AF1FDE"/>
    <w:rsid w:val="00AF4D3B"/>
    <w:rsid w:val="00AF649B"/>
    <w:rsid w:val="00AF6E20"/>
    <w:rsid w:val="00AF7170"/>
    <w:rsid w:val="00AF7ABF"/>
    <w:rsid w:val="00B047DE"/>
    <w:rsid w:val="00B07983"/>
    <w:rsid w:val="00B07AC1"/>
    <w:rsid w:val="00B1268B"/>
    <w:rsid w:val="00B1354F"/>
    <w:rsid w:val="00B135E0"/>
    <w:rsid w:val="00B140C0"/>
    <w:rsid w:val="00B172FE"/>
    <w:rsid w:val="00B230EC"/>
    <w:rsid w:val="00B23EB6"/>
    <w:rsid w:val="00B24BF7"/>
    <w:rsid w:val="00B25F9B"/>
    <w:rsid w:val="00B2745F"/>
    <w:rsid w:val="00B33A15"/>
    <w:rsid w:val="00B34008"/>
    <w:rsid w:val="00B341A1"/>
    <w:rsid w:val="00B34DEB"/>
    <w:rsid w:val="00B3639B"/>
    <w:rsid w:val="00B36992"/>
    <w:rsid w:val="00B37D4E"/>
    <w:rsid w:val="00B41B2C"/>
    <w:rsid w:val="00B43024"/>
    <w:rsid w:val="00B432BD"/>
    <w:rsid w:val="00B43AE3"/>
    <w:rsid w:val="00B45E56"/>
    <w:rsid w:val="00B47551"/>
    <w:rsid w:val="00B52284"/>
    <w:rsid w:val="00B52418"/>
    <w:rsid w:val="00B5241F"/>
    <w:rsid w:val="00B530EB"/>
    <w:rsid w:val="00B5338B"/>
    <w:rsid w:val="00B538FD"/>
    <w:rsid w:val="00B539B6"/>
    <w:rsid w:val="00B53CDD"/>
    <w:rsid w:val="00B5421F"/>
    <w:rsid w:val="00B54E7A"/>
    <w:rsid w:val="00B55C66"/>
    <w:rsid w:val="00B573B8"/>
    <w:rsid w:val="00B57CB8"/>
    <w:rsid w:val="00B61C0F"/>
    <w:rsid w:val="00B63B3C"/>
    <w:rsid w:val="00B6445B"/>
    <w:rsid w:val="00B64522"/>
    <w:rsid w:val="00B64EBB"/>
    <w:rsid w:val="00B64F5F"/>
    <w:rsid w:val="00B65151"/>
    <w:rsid w:val="00B66550"/>
    <w:rsid w:val="00B66996"/>
    <w:rsid w:val="00B670AB"/>
    <w:rsid w:val="00B70469"/>
    <w:rsid w:val="00B70A85"/>
    <w:rsid w:val="00B71696"/>
    <w:rsid w:val="00B72B44"/>
    <w:rsid w:val="00B730D1"/>
    <w:rsid w:val="00B732F7"/>
    <w:rsid w:val="00B737D5"/>
    <w:rsid w:val="00B73B55"/>
    <w:rsid w:val="00B73E77"/>
    <w:rsid w:val="00B73F5C"/>
    <w:rsid w:val="00B74143"/>
    <w:rsid w:val="00B74C3D"/>
    <w:rsid w:val="00B7539C"/>
    <w:rsid w:val="00B80266"/>
    <w:rsid w:val="00B80D0A"/>
    <w:rsid w:val="00B80DBE"/>
    <w:rsid w:val="00B80FCD"/>
    <w:rsid w:val="00B81F48"/>
    <w:rsid w:val="00B81FC3"/>
    <w:rsid w:val="00B8210C"/>
    <w:rsid w:val="00B838E7"/>
    <w:rsid w:val="00B83B70"/>
    <w:rsid w:val="00B864CF"/>
    <w:rsid w:val="00B86DE6"/>
    <w:rsid w:val="00B907D7"/>
    <w:rsid w:val="00B92D3F"/>
    <w:rsid w:val="00B93317"/>
    <w:rsid w:val="00B94636"/>
    <w:rsid w:val="00B9594F"/>
    <w:rsid w:val="00B95E26"/>
    <w:rsid w:val="00B96CD5"/>
    <w:rsid w:val="00B96E18"/>
    <w:rsid w:val="00BA02D5"/>
    <w:rsid w:val="00BA18CF"/>
    <w:rsid w:val="00BA1B4F"/>
    <w:rsid w:val="00BA1B58"/>
    <w:rsid w:val="00BA2AE6"/>
    <w:rsid w:val="00BA390E"/>
    <w:rsid w:val="00BA4CD1"/>
    <w:rsid w:val="00BB12F7"/>
    <w:rsid w:val="00BB15EA"/>
    <w:rsid w:val="00BB1E1D"/>
    <w:rsid w:val="00BB22F5"/>
    <w:rsid w:val="00BB355B"/>
    <w:rsid w:val="00BB3B38"/>
    <w:rsid w:val="00BB3CCE"/>
    <w:rsid w:val="00BB41EB"/>
    <w:rsid w:val="00BB6DE9"/>
    <w:rsid w:val="00BC13A2"/>
    <w:rsid w:val="00BC216B"/>
    <w:rsid w:val="00BC26D6"/>
    <w:rsid w:val="00BC27AD"/>
    <w:rsid w:val="00BC46A1"/>
    <w:rsid w:val="00BC5EFC"/>
    <w:rsid w:val="00BC69EC"/>
    <w:rsid w:val="00BC769D"/>
    <w:rsid w:val="00BC7BE3"/>
    <w:rsid w:val="00BC7C45"/>
    <w:rsid w:val="00BD14F4"/>
    <w:rsid w:val="00BD268C"/>
    <w:rsid w:val="00BD286F"/>
    <w:rsid w:val="00BD4DCA"/>
    <w:rsid w:val="00BD5AB1"/>
    <w:rsid w:val="00BD6CA6"/>
    <w:rsid w:val="00BD758B"/>
    <w:rsid w:val="00BE0CF9"/>
    <w:rsid w:val="00BE181B"/>
    <w:rsid w:val="00BE2088"/>
    <w:rsid w:val="00BE3565"/>
    <w:rsid w:val="00BE4944"/>
    <w:rsid w:val="00BE6724"/>
    <w:rsid w:val="00BE6A0D"/>
    <w:rsid w:val="00BE7387"/>
    <w:rsid w:val="00BF02DA"/>
    <w:rsid w:val="00BF131A"/>
    <w:rsid w:val="00BF18D1"/>
    <w:rsid w:val="00BF3AC7"/>
    <w:rsid w:val="00BF3F88"/>
    <w:rsid w:val="00BF6B5F"/>
    <w:rsid w:val="00BF732F"/>
    <w:rsid w:val="00C0243E"/>
    <w:rsid w:val="00C02725"/>
    <w:rsid w:val="00C0275D"/>
    <w:rsid w:val="00C036A0"/>
    <w:rsid w:val="00C03BEA"/>
    <w:rsid w:val="00C052E9"/>
    <w:rsid w:val="00C05821"/>
    <w:rsid w:val="00C06040"/>
    <w:rsid w:val="00C06AB2"/>
    <w:rsid w:val="00C07A85"/>
    <w:rsid w:val="00C101F7"/>
    <w:rsid w:val="00C105B5"/>
    <w:rsid w:val="00C10DFB"/>
    <w:rsid w:val="00C11331"/>
    <w:rsid w:val="00C1182D"/>
    <w:rsid w:val="00C11D0D"/>
    <w:rsid w:val="00C131EB"/>
    <w:rsid w:val="00C13F6B"/>
    <w:rsid w:val="00C15B11"/>
    <w:rsid w:val="00C166F7"/>
    <w:rsid w:val="00C17D44"/>
    <w:rsid w:val="00C17E79"/>
    <w:rsid w:val="00C17FCF"/>
    <w:rsid w:val="00C20675"/>
    <w:rsid w:val="00C215F9"/>
    <w:rsid w:val="00C21E46"/>
    <w:rsid w:val="00C22582"/>
    <w:rsid w:val="00C2330A"/>
    <w:rsid w:val="00C271A3"/>
    <w:rsid w:val="00C274D5"/>
    <w:rsid w:val="00C3020C"/>
    <w:rsid w:val="00C30495"/>
    <w:rsid w:val="00C30743"/>
    <w:rsid w:val="00C30C83"/>
    <w:rsid w:val="00C31249"/>
    <w:rsid w:val="00C326F8"/>
    <w:rsid w:val="00C35916"/>
    <w:rsid w:val="00C40610"/>
    <w:rsid w:val="00C4135D"/>
    <w:rsid w:val="00C44C8F"/>
    <w:rsid w:val="00C45556"/>
    <w:rsid w:val="00C4558C"/>
    <w:rsid w:val="00C4566B"/>
    <w:rsid w:val="00C458CD"/>
    <w:rsid w:val="00C45B4F"/>
    <w:rsid w:val="00C46726"/>
    <w:rsid w:val="00C47BEB"/>
    <w:rsid w:val="00C5118D"/>
    <w:rsid w:val="00C514A5"/>
    <w:rsid w:val="00C51A27"/>
    <w:rsid w:val="00C51BBE"/>
    <w:rsid w:val="00C523C3"/>
    <w:rsid w:val="00C5240A"/>
    <w:rsid w:val="00C524E5"/>
    <w:rsid w:val="00C53D8F"/>
    <w:rsid w:val="00C55505"/>
    <w:rsid w:val="00C55D88"/>
    <w:rsid w:val="00C618EB"/>
    <w:rsid w:val="00C62047"/>
    <w:rsid w:val="00C6213A"/>
    <w:rsid w:val="00C64131"/>
    <w:rsid w:val="00C6444D"/>
    <w:rsid w:val="00C661E7"/>
    <w:rsid w:val="00C662D8"/>
    <w:rsid w:val="00C67998"/>
    <w:rsid w:val="00C70079"/>
    <w:rsid w:val="00C71B21"/>
    <w:rsid w:val="00C72340"/>
    <w:rsid w:val="00C75A4F"/>
    <w:rsid w:val="00C764B9"/>
    <w:rsid w:val="00C77862"/>
    <w:rsid w:val="00C802E3"/>
    <w:rsid w:val="00C80C47"/>
    <w:rsid w:val="00C818CA"/>
    <w:rsid w:val="00C8337C"/>
    <w:rsid w:val="00C85462"/>
    <w:rsid w:val="00C86F28"/>
    <w:rsid w:val="00C90D14"/>
    <w:rsid w:val="00C9122D"/>
    <w:rsid w:val="00C918D7"/>
    <w:rsid w:val="00C922FF"/>
    <w:rsid w:val="00C92828"/>
    <w:rsid w:val="00C928A6"/>
    <w:rsid w:val="00C9358C"/>
    <w:rsid w:val="00C9385F"/>
    <w:rsid w:val="00C94085"/>
    <w:rsid w:val="00C9469B"/>
    <w:rsid w:val="00C95447"/>
    <w:rsid w:val="00C95894"/>
    <w:rsid w:val="00C958A1"/>
    <w:rsid w:val="00C967EA"/>
    <w:rsid w:val="00C96D2E"/>
    <w:rsid w:val="00C96F37"/>
    <w:rsid w:val="00CA0EBE"/>
    <w:rsid w:val="00CA1EC9"/>
    <w:rsid w:val="00CA4A12"/>
    <w:rsid w:val="00CA676C"/>
    <w:rsid w:val="00CA6CB3"/>
    <w:rsid w:val="00CA7BA1"/>
    <w:rsid w:val="00CA7F45"/>
    <w:rsid w:val="00CB0A78"/>
    <w:rsid w:val="00CB146B"/>
    <w:rsid w:val="00CB3730"/>
    <w:rsid w:val="00CB380C"/>
    <w:rsid w:val="00CB41DF"/>
    <w:rsid w:val="00CB48D9"/>
    <w:rsid w:val="00CB4F27"/>
    <w:rsid w:val="00CB5331"/>
    <w:rsid w:val="00CB724A"/>
    <w:rsid w:val="00CB7500"/>
    <w:rsid w:val="00CB7CF0"/>
    <w:rsid w:val="00CB7DFC"/>
    <w:rsid w:val="00CC0636"/>
    <w:rsid w:val="00CC06A8"/>
    <w:rsid w:val="00CC1637"/>
    <w:rsid w:val="00CC1CA2"/>
    <w:rsid w:val="00CC2395"/>
    <w:rsid w:val="00CC2A30"/>
    <w:rsid w:val="00CC33DD"/>
    <w:rsid w:val="00CC35DD"/>
    <w:rsid w:val="00CC5475"/>
    <w:rsid w:val="00CD0619"/>
    <w:rsid w:val="00CD13F7"/>
    <w:rsid w:val="00CD3926"/>
    <w:rsid w:val="00CD3A34"/>
    <w:rsid w:val="00CD3E5D"/>
    <w:rsid w:val="00CD5058"/>
    <w:rsid w:val="00CD5E61"/>
    <w:rsid w:val="00CD7CC3"/>
    <w:rsid w:val="00CD7FD3"/>
    <w:rsid w:val="00CE26CB"/>
    <w:rsid w:val="00CE3057"/>
    <w:rsid w:val="00CE3C1A"/>
    <w:rsid w:val="00CE4386"/>
    <w:rsid w:val="00CE5599"/>
    <w:rsid w:val="00CE60C7"/>
    <w:rsid w:val="00CE6760"/>
    <w:rsid w:val="00CE7533"/>
    <w:rsid w:val="00CE796B"/>
    <w:rsid w:val="00CF05E1"/>
    <w:rsid w:val="00CF05F1"/>
    <w:rsid w:val="00CF095B"/>
    <w:rsid w:val="00CF722F"/>
    <w:rsid w:val="00D002D6"/>
    <w:rsid w:val="00D00415"/>
    <w:rsid w:val="00D005F5"/>
    <w:rsid w:val="00D01E99"/>
    <w:rsid w:val="00D03C8B"/>
    <w:rsid w:val="00D04403"/>
    <w:rsid w:val="00D04D30"/>
    <w:rsid w:val="00D05379"/>
    <w:rsid w:val="00D055FE"/>
    <w:rsid w:val="00D06EF0"/>
    <w:rsid w:val="00D0711F"/>
    <w:rsid w:val="00D10D25"/>
    <w:rsid w:val="00D11139"/>
    <w:rsid w:val="00D11772"/>
    <w:rsid w:val="00D11B60"/>
    <w:rsid w:val="00D12139"/>
    <w:rsid w:val="00D125CB"/>
    <w:rsid w:val="00D13E27"/>
    <w:rsid w:val="00D155CE"/>
    <w:rsid w:val="00D158FE"/>
    <w:rsid w:val="00D1593D"/>
    <w:rsid w:val="00D1654F"/>
    <w:rsid w:val="00D16D5E"/>
    <w:rsid w:val="00D16FA1"/>
    <w:rsid w:val="00D17D85"/>
    <w:rsid w:val="00D20407"/>
    <w:rsid w:val="00D214EF"/>
    <w:rsid w:val="00D21CC1"/>
    <w:rsid w:val="00D22119"/>
    <w:rsid w:val="00D22483"/>
    <w:rsid w:val="00D25F8C"/>
    <w:rsid w:val="00D2711E"/>
    <w:rsid w:val="00D27839"/>
    <w:rsid w:val="00D31393"/>
    <w:rsid w:val="00D36220"/>
    <w:rsid w:val="00D40FDB"/>
    <w:rsid w:val="00D41804"/>
    <w:rsid w:val="00D41AF5"/>
    <w:rsid w:val="00D42753"/>
    <w:rsid w:val="00D430A7"/>
    <w:rsid w:val="00D4327A"/>
    <w:rsid w:val="00D44C65"/>
    <w:rsid w:val="00D474D4"/>
    <w:rsid w:val="00D476BB"/>
    <w:rsid w:val="00D4785D"/>
    <w:rsid w:val="00D50D7C"/>
    <w:rsid w:val="00D510A0"/>
    <w:rsid w:val="00D51366"/>
    <w:rsid w:val="00D521F7"/>
    <w:rsid w:val="00D52A1E"/>
    <w:rsid w:val="00D52CD6"/>
    <w:rsid w:val="00D557E6"/>
    <w:rsid w:val="00D5589A"/>
    <w:rsid w:val="00D56AC0"/>
    <w:rsid w:val="00D56CCE"/>
    <w:rsid w:val="00D5747C"/>
    <w:rsid w:val="00D576F1"/>
    <w:rsid w:val="00D57C68"/>
    <w:rsid w:val="00D619D0"/>
    <w:rsid w:val="00D61A6A"/>
    <w:rsid w:val="00D61DAD"/>
    <w:rsid w:val="00D63108"/>
    <w:rsid w:val="00D6375B"/>
    <w:rsid w:val="00D63D61"/>
    <w:rsid w:val="00D6449C"/>
    <w:rsid w:val="00D64B6A"/>
    <w:rsid w:val="00D65928"/>
    <w:rsid w:val="00D66EF2"/>
    <w:rsid w:val="00D67801"/>
    <w:rsid w:val="00D67FA4"/>
    <w:rsid w:val="00D704A0"/>
    <w:rsid w:val="00D710AB"/>
    <w:rsid w:val="00D720A2"/>
    <w:rsid w:val="00D72E57"/>
    <w:rsid w:val="00D73DE1"/>
    <w:rsid w:val="00D75A8F"/>
    <w:rsid w:val="00D75F99"/>
    <w:rsid w:val="00D76F95"/>
    <w:rsid w:val="00D77901"/>
    <w:rsid w:val="00D800CA"/>
    <w:rsid w:val="00D81653"/>
    <w:rsid w:val="00D81B47"/>
    <w:rsid w:val="00D82F88"/>
    <w:rsid w:val="00D8360A"/>
    <w:rsid w:val="00D83CB1"/>
    <w:rsid w:val="00D862BA"/>
    <w:rsid w:val="00D866D8"/>
    <w:rsid w:val="00D90417"/>
    <w:rsid w:val="00D90EE1"/>
    <w:rsid w:val="00D91918"/>
    <w:rsid w:val="00D91F03"/>
    <w:rsid w:val="00D92DD3"/>
    <w:rsid w:val="00D9390D"/>
    <w:rsid w:val="00D93B17"/>
    <w:rsid w:val="00D94F5B"/>
    <w:rsid w:val="00D97739"/>
    <w:rsid w:val="00D97BE6"/>
    <w:rsid w:val="00DA1F0A"/>
    <w:rsid w:val="00DA2145"/>
    <w:rsid w:val="00DA25CB"/>
    <w:rsid w:val="00DA2C83"/>
    <w:rsid w:val="00DA5224"/>
    <w:rsid w:val="00DA55F8"/>
    <w:rsid w:val="00DA5DCE"/>
    <w:rsid w:val="00DA6A1E"/>
    <w:rsid w:val="00DA6A2E"/>
    <w:rsid w:val="00DA7732"/>
    <w:rsid w:val="00DB03EB"/>
    <w:rsid w:val="00DB08A9"/>
    <w:rsid w:val="00DB286B"/>
    <w:rsid w:val="00DB5682"/>
    <w:rsid w:val="00DB6D0B"/>
    <w:rsid w:val="00DB7878"/>
    <w:rsid w:val="00DB7EB1"/>
    <w:rsid w:val="00DC0427"/>
    <w:rsid w:val="00DC2365"/>
    <w:rsid w:val="00DC293E"/>
    <w:rsid w:val="00DC33BF"/>
    <w:rsid w:val="00DC387F"/>
    <w:rsid w:val="00DC3BF3"/>
    <w:rsid w:val="00DC5044"/>
    <w:rsid w:val="00DC50EF"/>
    <w:rsid w:val="00DC77A6"/>
    <w:rsid w:val="00DD0714"/>
    <w:rsid w:val="00DD09B0"/>
    <w:rsid w:val="00DD180C"/>
    <w:rsid w:val="00DD1875"/>
    <w:rsid w:val="00DD2736"/>
    <w:rsid w:val="00DD2B02"/>
    <w:rsid w:val="00DD3D24"/>
    <w:rsid w:val="00DD49C3"/>
    <w:rsid w:val="00DD655B"/>
    <w:rsid w:val="00DD6831"/>
    <w:rsid w:val="00DD7286"/>
    <w:rsid w:val="00DD785B"/>
    <w:rsid w:val="00DE1F0B"/>
    <w:rsid w:val="00DE2389"/>
    <w:rsid w:val="00DE25D8"/>
    <w:rsid w:val="00DE27FE"/>
    <w:rsid w:val="00DE2D2B"/>
    <w:rsid w:val="00DE3D8F"/>
    <w:rsid w:val="00DE4901"/>
    <w:rsid w:val="00DE49A1"/>
    <w:rsid w:val="00DE4C36"/>
    <w:rsid w:val="00DE51C0"/>
    <w:rsid w:val="00DE6756"/>
    <w:rsid w:val="00DE68A4"/>
    <w:rsid w:val="00DE6949"/>
    <w:rsid w:val="00DE6AC9"/>
    <w:rsid w:val="00DE6C0D"/>
    <w:rsid w:val="00DE7794"/>
    <w:rsid w:val="00DE79A7"/>
    <w:rsid w:val="00DF02D3"/>
    <w:rsid w:val="00DF209E"/>
    <w:rsid w:val="00DF3D86"/>
    <w:rsid w:val="00DF64B0"/>
    <w:rsid w:val="00DF6B88"/>
    <w:rsid w:val="00DF71C3"/>
    <w:rsid w:val="00DF7DAC"/>
    <w:rsid w:val="00E00268"/>
    <w:rsid w:val="00E0027C"/>
    <w:rsid w:val="00E007F3"/>
    <w:rsid w:val="00E00B05"/>
    <w:rsid w:val="00E012AA"/>
    <w:rsid w:val="00E0466A"/>
    <w:rsid w:val="00E04796"/>
    <w:rsid w:val="00E04C37"/>
    <w:rsid w:val="00E04ED7"/>
    <w:rsid w:val="00E05258"/>
    <w:rsid w:val="00E05F2F"/>
    <w:rsid w:val="00E0701D"/>
    <w:rsid w:val="00E0726A"/>
    <w:rsid w:val="00E0775D"/>
    <w:rsid w:val="00E07C0C"/>
    <w:rsid w:val="00E11559"/>
    <w:rsid w:val="00E11FE6"/>
    <w:rsid w:val="00E125CC"/>
    <w:rsid w:val="00E127AF"/>
    <w:rsid w:val="00E129BC"/>
    <w:rsid w:val="00E12F34"/>
    <w:rsid w:val="00E14001"/>
    <w:rsid w:val="00E146F1"/>
    <w:rsid w:val="00E15A13"/>
    <w:rsid w:val="00E20469"/>
    <w:rsid w:val="00E21C8A"/>
    <w:rsid w:val="00E2214A"/>
    <w:rsid w:val="00E222CD"/>
    <w:rsid w:val="00E22A88"/>
    <w:rsid w:val="00E23FB9"/>
    <w:rsid w:val="00E245FC"/>
    <w:rsid w:val="00E246BD"/>
    <w:rsid w:val="00E26005"/>
    <w:rsid w:val="00E26080"/>
    <w:rsid w:val="00E26C2A"/>
    <w:rsid w:val="00E26EE4"/>
    <w:rsid w:val="00E2742C"/>
    <w:rsid w:val="00E27A94"/>
    <w:rsid w:val="00E27DB7"/>
    <w:rsid w:val="00E319E7"/>
    <w:rsid w:val="00E32386"/>
    <w:rsid w:val="00E328CC"/>
    <w:rsid w:val="00E335A8"/>
    <w:rsid w:val="00E346B8"/>
    <w:rsid w:val="00E374CA"/>
    <w:rsid w:val="00E40A19"/>
    <w:rsid w:val="00E40CD4"/>
    <w:rsid w:val="00E417F5"/>
    <w:rsid w:val="00E41DE1"/>
    <w:rsid w:val="00E42575"/>
    <w:rsid w:val="00E427F3"/>
    <w:rsid w:val="00E42DAB"/>
    <w:rsid w:val="00E42F49"/>
    <w:rsid w:val="00E4425E"/>
    <w:rsid w:val="00E449BB"/>
    <w:rsid w:val="00E44B16"/>
    <w:rsid w:val="00E45A66"/>
    <w:rsid w:val="00E460F5"/>
    <w:rsid w:val="00E472B0"/>
    <w:rsid w:val="00E473C6"/>
    <w:rsid w:val="00E47F25"/>
    <w:rsid w:val="00E50CB0"/>
    <w:rsid w:val="00E50E33"/>
    <w:rsid w:val="00E52037"/>
    <w:rsid w:val="00E52C8A"/>
    <w:rsid w:val="00E53C49"/>
    <w:rsid w:val="00E556D2"/>
    <w:rsid w:val="00E566AA"/>
    <w:rsid w:val="00E57FF2"/>
    <w:rsid w:val="00E622B0"/>
    <w:rsid w:val="00E62D5B"/>
    <w:rsid w:val="00E62F28"/>
    <w:rsid w:val="00E630DE"/>
    <w:rsid w:val="00E6327F"/>
    <w:rsid w:val="00E63B47"/>
    <w:rsid w:val="00E6492F"/>
    <w:rsid w:val="00E65274"/>
    <w:rsid w:val="00E65EEA"/>
    <w:rsid w:val="00E67198"/>
    <w:rsid w:val="00E703B5"/>
    <w:rsid w:val="00E706A9"/>
    <w:rsid w:val="00E7088E"/>
    <w:rsid w:val="00E71226"/>
    <w:rsid w:val="00E7139C"/>
    <w:rsid w:val="00E71B88"/>
    <w:rsid w:val="00E72ADC"/>
    <w:rsid w:val="00E75EE1"/>
    <w:rsid w:val="00E76655"/>
    <w:rsid w:val="00E7692D"/>
    <w:rsid w:val="00E76E06"/>
    <w:rsid w:val="00E76E39"/>
    <w:rsid w:val="00E7761E"/>
    <w:rsid w:val="00E80023"/>
    <w:rsid w:val="00E80517"/>
    <w:rsid w:val="00E80531"/>
    <w:rsid w:val="00E811FC"/>
    <w:rsid w:val="00E81258"/>
    <w:rsid w:val="00E8191D"/>
    <w:rsid w:val="00E81E74"/>
    <w:rsid w:val="00E81F79"/>
    <w:rsid w:val="00E823B5"/>
    <w:rsid w:val="00E826C4"/>
    <w:rsid w:val="00E83832"/>
    <w:rsid w:val="00E83D82"/>
    <w:rsid w:val="00E851FF"/>
    <w:rsid w:val="00E853AC"/>
    <w:rsid w:val="00E859A8"/>
    <w:rsid w:val="00E85ADE"/>
    <w:rsid w:val="00E85D5C"/>
    <w:rsid w:val="00E85E4A"/>
    <w:rsid w:val="00E91A6D"/>
    <w:rsid w:val="00E91EB7"/>
    <w:rsid w:val="00E92752"/>
    <w:rsid w:val="00E92D9D"/>
    <w:rsid w:val="00E935FA"/>
    <w:rsid w:val="00E946C0"/>
    <w:rsid w:val="00E95007"/>
    <w:rsid w:val="00EA1649"/>
    <w:rsid w:val="00EA2060"/>
    <w:rsid w:val="00EA2975"/>
    <w:rsid w:val="00EA31C8"/>
    <w:rsid w:val="00EA4091"/>
    <w:rsid w:val="00EA555A"/>
    <w:rsid w:val="00EA666C"/>
    <w:rsid w:val="00EB06A4"/>
    <w:rsid w:val="00EB10DC"/>
    <w:rsid w:val="00EB3245"/>
    <w:rsid w:val="00EB40EB"/>
    <w:rsid w:val="00EB4B65"/>
    <w:rsid w:val="00EB4DA5"/>
    <w:rsid w:val="00EB5CD9"/>
    <w:rsid w:val="00EB5E95"/>
    <w:rsid w:val="00EB719E"/>
    <w:rsid w:val="00EC16A7"/>
    <w:rsid w:val="00EC18DD"/>
    <w:rsid w:val="00EC1B29"/>
    <w:rsid w:val="00EC276F"/>
    <w:rsid w:val="00EC3DAB"/>
    <w:rsid w:val="00EC5429"/>
    <w:rsid w:val="00EC5733"/>
    <w:rsid w:val="00EC5F85"/>
    <w:rsid w:val="00EC638D"/>
    <w:rsid w:val="00EC677A"/>
    <w:rsid w:val="00EC7185"/>
    <w:rsid w:val="00EC7A8B"/>
    <w:rsid w:val="00EC7F09"/>
    <w:rsid w:val="00ED098A"/>
    <w:rsid w:val="00ED0B98"/>
    <w:rsid w:val="00ED0F9F"/>
    <w:rsid w:val="00ED1CCE"/>
    <w:rsid w:val="00ED2DE0"/>
    <w:rsid w:val="00ED34C3"/>
    <w:rsid w:val="00ED44E6"/>
    <w:rsid w:val="00ED4EA2"/>
    <w:rsid w:val="00ED5A54"/>
    <w:rsid w:val="00ED6579"/>
    <w:rsid w:val="00ED7AA9"/>
    <w:rsid w:val="00EE0E28"/>
    <w:rsid w:val="00EE2074"/>
    <w:rsid w:val="00EE22A2"/>
    <w:rsid w:val="00EE2AE0"/>
    <w:rsid w:val="00EE4086"/>
    <w:rsid w:val="00EE41CB"/>
    <w:rsid w:val="00EE4275"/>
    <w:rsid w:val="00EE4A6D"/>
    <w:rsid w:val="00EE61B0"/>
    <w:rsid w:val="00EE63C7"/>
    <w:rsid w:val="00EE75B7"/>
    <w:rsid w:val="00EE76A8"/>
    <w:rsid w:val="00EF017D"/>
    <w:rsid w:val="00EF2F83"/>
    <w:rsid w:val="00EF3376"/>
    <w:rsid w:val="00EF482C"/>
    <w:rsid w:val="00EF6BE7"/>
    <w:rsid w:val="00F0062B"/>
    <w:rsid w:val="00F0138E"/>
    <w:rsid w:val="00F02872"/>
    <w:rsid w:val="00F03202"/>
    <w:rsid w:val="00F0466E"/>
    <w:rsid w:val="00F07E1C"/>
    <w:rsid w:val="00F14071"/>
    <w:rsid w:val="00F14E6E"/>
    <w:rsid w:val="00F1752E"/>
    <w:rsid w:val="00F17CF9"/>
    <w:rsid w:val="00F213F0"/>
    <w:rsid w:val="00F242C9"/>
    <w:rsid w:val="00F25175"/>
    <w:rsid w:val="00F25757"/>
    <w:rsid w:val="00F26DD7"/>
    <w:rsid w:val="00F27044"/>
    <w:rsid w:val="00F27159"/>
    <w:rsid w:val="00F30732"/>
    <w:rsid w:val="00F30915"/>
    <w:rsid w:val="00F31340"/>
    <w:rsid w:val="00F316B2"/>
    <w:rsid w:val="00F32E53"/>
    <w:rsid w:val="00F36C48"/>
    <w:rsid w:val="00F427A8"/>
    <w:rsid w:val="00F42CAD"/>
    <w:rsid w:val="00F4325C"/>
    <w:rsid w:val="00F4358D"/>
    <w:rsid w:val="00F45666"/>
    <w:rsid w:val="00F457E6"/>
    <w:rsid w:val="00F45975"/>
    <w:rsid w:val="00F467CB"/>
    <w:rsid w:val="00F46822"/>
    <w:rsid w:val="00F4697D"/>
    <w:rsid w:val="00F46B1A"/>
    <w:rsid w:val="00F46D74"/>
    <w:rsid w:val="00F47AB7"/>
    <w:rsid w:val="00F50437"/>
    <w:rsid w:val="00F5111B"/>
    <w:rsid w:val="00F5156D"/>
    <w:rsid w:val="00F52A6C"/>
    <w:rsid w:val="00F54CCE"/>
    <w:rsid w:val="00F550D0"/>
    <w:rsid w:val="00F56AE5"/>
    <w:rsid w:val="00F57F79"/>
    <w:rsid w:val="00F61964"/>
    <w:rsid w:val="00F61DE8"/>
    <w:rsid w:val="00F62654"/>
    <w:rsid w:val="00F627A9"/>
    <w:rsid w:val="00F628F8"/>
    <w:rsid w:val="00F63119"/>
    <w:rsid w:val="00F64F41"/>
    <w:rsid w:val="00F6624C"/>
    <w:rsid w:val="00F6631A"/>
    <w:rsid w:val="00F66A42"/>
    <w:rsid w:val="00F66E1C"/>
    <w:rsid w:val="00F66EA3"/>
    <w:rsid w:val="00F70CC9"/>
    <w:rsid w:val="00F718E0"/>
    <w:rsid w:val="00F72315"/>
    <w:rsid w:val="00F72619"/>
    <w:rsid w:val="00F738A0"/>
    <w:rsid w:val="00F74347"/>
    <w:rsid w:val="00F77228"/>
    <w:rsid w:val="00F772E0"/>
    <w:rsid w:val="00F80F5A"/>
    <w:rsid w:val="00F82970"/>
    <w:rsid w:val="00F8413E"/>
    <w:rsid w:val="00F86209"/>
    <w:rsid w:val="00F86583"/>
    <w:rsid w:val="00F86F38"/>
    <w:rsid w:val="00F87BE7"/>
    <w:rsid w:val="00F87FE0"/>
    <w:rsid w:val="00F9195A"/>
    <w:rsid w:val="00F92FFE"/>
    <w:rsid w:val="00F9397C"/>
    <w:rsid w:val="00F93A15"/>
    <w:rsid w:val="00F93DB4"/>
    <w:rsid w:val="00F9566B"/>
    <w:rsid w:val="00F95A6E"/>
    <w:rsid w:val="00F97F03"/>
    <w:rsid w:val="00FA1876"/>
    <w:rsid w:val="00FA2569"/>
    <w:rsid w:val="00FA3A94"/>
    <w:rsid w:val="00FA4016"/>
    <w:rsid w:val="00FA43D2"/>
    <w:rsid w:val="00FA4B95"/>
    <w:rsid w:val="00FA65E1"/>
    <w:rsid w:val="00FA79F3"/>
    <w:rsid w:val="00FB01B2"/>
    <w:rsid w:val="00FB0F51"/>
    <w:rsid w:val="00FB185B"/>
    <w:rsid w:val="00FB1BD1"/>
    <w:rsid w:val="00FB44C1"/>
    <w:rsid w:val="00FB784D"/>
    <w:rsid w:val="00FB7FD7"/>
    <w:rsid w:val="00FC39E2"/>
    <w:rsid w:val="00FC3C0F"/>
    <w:rsid w:val="00FC408D"/>
    <w:rsid w:val="00FC5345"/>
    <w:rsid w:val="00FC5444"/>
    <w:rsid w:val="00FC752D"/>
    <w:rsid w:val="00FD16FB"/>
    <w:rsid w:val="00FD22C3"/>
    <w:rsid w:val="00FD2A49"/>
    <w:rsid w:val="00FD3E16"/>
    <w:rsid w:val="00FD4640"/>
    <w:rsid w:val="00FD4F0A"/>
    <w:rsid w:val="00FD5086"/>
    <w:rsid w:val="00FD7017"/>
    <w:rsid w:val="00FE1805"/>
    <w:rsid w:val="00FE1DCB"/>
    <w:rsid w:val="00FE2B01"/>
    <w:rsid w:val="00FE3231"/>
    <w:rsid w:val="00FE3B79"/>
    <w:rsid w:val="00FE674D"/>
    <w:rsid w:val="00FE7696"/>
    <w:rsid w:val="00FF0014"/>
    <w:rsid w:val="00FF0F63"/>
    <w:rsid w:val="00FF110D"/>
    <w:rsid w:val="00FF145C"/>
    <w:rsid w:val="00FF1B01"/>
    <w:rsid w:val="00FF1E6B"/>
    <w:rsid w:val="00FF2415"/>
    <w:rsid w:val="00FF3FCB"/>
    <w:rsid w:val="00FF44E1"/>
    <w:rsid w:val="00FF4A83"/>
    <w:rsid w:val="00FF55CD"/>
    <w:rsid w:val="00FF5C30"/>
    <w:rsid w:val="00FF6505"/>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B25033"/>
  <w15:chartTrackingRefBased/>
  <w15:docId w15:val="{D8517666-A777-41B2-A369-4308A0148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FA401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qFormat/>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nhideWhenUsed/>
    <w:qFormat/>
    <w:rsid w:val="00BF6B5F"/>
    <w:rPr>
      <w:sz w:val="21"/>
      <w:szCs w:val="21"/>
    </w:rPr>
  </w:style>
  <w:style w:type="paragraph" w:styleId="af5">
    <w:name w:val="annotation text"/>
    <w:basedOn w:val="a"/>
    <w:link w:val="af6"/>
    <w:uiPriority w:val="99"/>
    <w:unhideWhenUsed/>
    <w:qFormat/>
    <w:rsid w:val="00BF6B5F"/>
    <w:pPr>
      <w:jc w:val="left"/>
    </w:pPr>
  </w:style>
  <w:style w:type="character" w:customStyle="1" w:styleId="af6">
    <w:name w:val="批注文字 字符"/>
    <w:link w:val="af5"/>
    <w:uiPriority w:val="99"/>
    <w:qFormat/>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Comments">
    <w:name w:val="Comments"/>
    <w:basedOn w:val="a"/>
    <w:link w:val="CommentsChar"/>
    <w:qFormat/>
    <w:rsid w:val="006469D9"/>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6469D9"/>
    <w:rPr>
      <w:rFonts w:ascii="Arial" w:eastAsia="MS Mincho" w:hAnsi="Arial"/>
      <w:i/>
      <w:noProof/>
      <w:sz w:val="18"/>
      <w:szCs w:val="24"/>
      <w:lang w:val="en-GB" w:eastAsia="en-GB"/>
    </w:rPr>
  </w:style>
  <w:style w:type="paragraph" w:customStyle="1" w:styleId="Doc-comment">
    <w:name w:val="Doc-comment"/>
    <w:basedOn w:val="a"/>
    <w:next w:val="Doc-text2"/>
    <w:qFormat/>
    <w:rsid w:val="006469D9"/>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TH">
    <w:name w:val="TH"/>
    <w:basedOn w:val="a"/>
    <w:link w:val="THChar"/>
    <w:qFormat/>
    <w:rsid w:val="00EE2AE0"/>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paragraph" w:customStyle="1" w:styleId="TF">
    <w:name w:val="TF"/>
    <w:basedOn w:val="TH"/>
    <w:link w:val="TFChar"/>
    <w:qFormat/>
    <w:rsid w:val="00EE2AE0"/>
    <w:pPr>
      <w:keepNext w:val="0"/>
      <w:spacing w:before="0" w:after="240"/>
    </w:pPr>
  </w:style>
  <w:style w:type="character" w:customStyle="1" w:styleId="THChar">
    <w:name w:val="TH Char"/>
    <w:link w:val="TH"/>
    <w:qFormat/>
    <w:rsid w:val="00EE2AE0"/>
    <w:rPr>
      <w:rFonts w:ascii="Arial" w:eastAsia="Times New Roman" w:hAnsi="Arial"/>
      <w:b/>
      <w:lang w:val="en-GB" w:eastAsia="en-US"/>
    </w:rPr>
  </w:style>
  <w:style w:type="character" w:customStyle="1" w:styleId="TFChar">
    <w:name w:val="TF Char"/>
    <w:link w:val="TF"/>
    <w:rsid w:val="00EE2AE0"/>
    <w:rPr>
      <w:rFonts w:ascii="Arial" w:eastAsia="Times New Roman" w:hAnsi="Arial"/>
      <w:b/>
      <w:lang w:val="en-GB" w:eastAsia="en-US"/>
    </w:rPr>
  </w:style>
  <w:style w:type="character" w:styleId="af9">
    <w:name w:val="Placeholder Text"/>
    <w:basedOn w:val="a0"/>
    <w:uiPriority w:val="99"/>
    <w:semiHidden/>
    <w:rsid w:val="00B55C66"/>
    <w:rPr>
      <w:color w:val="808080"/>
    </w:rPr>
  </w:style>
  <w:style w:type="character" w:customStyle="1" w:styleId="skip">
    <w:name w:val="skip"/>
    <w:basedOn w:val="a0"/>
    <w:rsid w:val="005A500F"/>
  </w:style>
  <w:style w:type="character" w:customStyle="1" w:styleId="apple-converted-space">
    <w:name w:val="apple-converted-space"/>
    <w:basedOn w:val="a0"/>
    <w:rsid w:val="005A500F"/>
  </w:style>
  <w:style w:type="paragraph" w:styleId="afa">
    <w:name w:val="Revision"/>
    <w:hidden/>
    <w:uiPriority w:val="99"/>
    <w:semiHidden/>
    <w:rsid w:val="003D2891"/>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0048">
      <w:bodyDiv w:val="1"/>
      <w:marLeft w:val="0"/>
      <w:marRight w:val="0"/>
      <w:marTop w:val="0"/>
      <w:marBottom w:val="0"/>
      <w:divBdr>
        <w:top w:val="none" w:sz="0" w:space="0" w:color="auto"/>
        <w:left w:val="none" w:sz="0" w:space="0" w:color="auto"/>
        <w:bottom w:val="none" w:sz="0" w:space="0" w:color="auto"/>
        <w:right w:val="none" w:sz="0" w:space="0" w:color="auto"/>
      </w:divBdr>
      <w:divsChild>
        <w:div w:id="752971853">
          <w:marLeft w:val="893"/>
          <w:marRight w:val="0"/>
          <w:marTop w:val="40"/>
          <w:marBottom w:val="80"/>
          <w:divBdr>
            <w:top w:val="none" w:sz="0" w:space="0" w:color="auto"/>
            <w:left w:val="none" w:sz="0" w:space="0" w:color="auto"/>
            <w:bottom w:val="none" w:sz="0" w:space="0" w:color="auto"/>
            <w:right w:val="none" w:sz="0" w:space="0" w:color="auto"/>
          </w:divBdr>
        </w:div>
        <w:div w:id="2032023806">
          <w:marLeft w:val="893"/>
          <w:marRight w:val="0"/>
          <w:marTop w:val="40"/>
          <w:marBottom w:val="80"/>
          <w:divBdr>
            <w:top w:val="none" w:sz="0" w:space="0" w:color="auto"/>
            <w:left w:val="none" w:sz="0" w:space="0" w:color="auto"/>
            <w:bottom w:val="none" w:sz="0" w:space="0" w:color="auto"/>
            <w:right w:val="none" w:sz="0" w:space="0" w:color="auto"/>
          </w:divBdr>
        </w:div>
      </w:divsChild>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307172005">
      <w:bodyDiv w:val="1"/>
      <w:marLeft w:val="0"/>
      <w:marRight w:val="0"/>
      <w:marTop w:val="0"/>
      <w:marBottom w:val="0"/>
      <w:divBdr>
        <w:top w:val="none" w:sz="0" w:space="0" w:color="auto"/>
        <w:left w:val="none" w:sz="0" w:space="0" w:color="auto"/>
        <w:bottom w:val="none" w:sz="0" w:space="0" w:color="auto"/>
        <w:right w:val="none" w:sz="0" w:space="0" w:color="auto"/>
      </w:divBdr>
      <w:divsChild>
        <w:div w:id="424108806">
          <w:marLeft w:val="144"/>
          <w:marRight w:val="0"/>
          <w:marTop w:val="240"/>
          <w:marBottom w:val="4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468669133">
      <w:bodyDiv w:val="1"/>
      <w:marLeft w:val="0"/>
      <w:marRight w:val="0"/>
      <w:marTop w:val="0"/>
      <w:marBottom w:val="0"/>
      <w:divBdr>
        <w:top w:val="none" w:sz="0" w:space="0" w:color="auto"/>
        <w:left w:val="none" w:sz="0" w:space="0" w:color="auto"/>
        <w:bottom w:val="none" w:sz="0" w:space="0" w:color="auto"/>
        <w:right w:val="none" w:sz="0" w:space="0" w:color="auto"/>
      </w:divBdr>
      <w:divsChild>
        <w:div w:id="1120341534">
          <w:marLeft w:val="1181"/>
          <w:marRight w:val="0"/>
          <w:marTop w:val="40"/>
          <w:marBottom w:val="80"/>
          <w:divBdr>
            <w:top w:val="none" w:sz="0" w:space="0" w:color="auto"/>
            <w:left w:val="none" w:sz="0" w:space="0" w:color="auto"/>
            <w:bottom w:val="none" w:sz="0" w:space="0" w:color="auto"/>
            <w:right w:val="none" w:sz="0" w:space="0" w:color="auto"/>
          </w:divBdr>
        </w:div>
      </w:divsChild>
    </w:div>
    <w:div w:id="475033388">
      <w:bodyDiv w:val="1"/>
      <w:marLeft w:val="0"/>
      <w:marRight w:val="0"/>
      <w:marTop w:val="0"/>
      <w:marBottom w:val="0"/>
      <w:divBdr>
        <w:top w:val="none" w:sz="0" w:space="0" w:color="auto"/>
        <w:left w:val="none" w:sz="0" w:space="0" w:color="auto"/>
        <w:bottom w:val="none" w:sz="0" w:space="0" w:color="auto"/>
        <w:right w:val="none" w:sz="0" w:space="0" w:color="auto"/>
      </w:divBdr>
      <w:divsChild>
        <w:div w:id="8604704">
          <w:marLeft w:val="1800"/>
          <w:marRight w:val="0"/>
          <w:marTop w:val="100"/>
          <w:marBottom w:val="0"/>
          <w:divBdr>
            <w:top w:val="none" w:sz="0" w:space="0" w:color="auto"/>
            <w:left w:val="none" w:sz="0" w:space="0" w:color="auto"/>
            <w:bottom w:val="none" w:sz="0" w:space="0" w:color="auto"/>
            <w:right w:val="none" w:sz="0" w:space="0" w:color="auto"/>
          </w:divBdr>
        </w:div>
        <w:div w:id="24068150">
          <w:marLeft w:val="1080"/>
          <w:marRight w:val="0"/>
          <w:marTop w:val="100"/>
          <w:marBottom w:val="0"/>
          <w:divBdr>
            <w:top w:val="none" w:sz="0" w:space="0" w:color="auto"/>
            <w:left w:val="none" w:sz="0" w:space="0" w:color="auto"/>
            <w:bottom w:val="none" w:sz="0" w:space="0" w:color="auto"/>
            <w:right w:val="none" w:sz="0" w:space="0" w:color="auto"/>
          </w:divBdr>
        </w:div>
        <w:div w:id="306713372">
          <w:marLeft w:val="1080"/>
          <w:marRight w:val="0"/>
          <w:marTop w:val="100"/>
          <w:marBottom w:val="0"/>
          <w:divBdr>
            <w:top w:val="none" w:sz="0" w:space="0" w:color="auto"/>
            <w:left w:val="none" w:sz="0" w:space="0" w:color="auto"/>
            <w:bottom w:val="none" w:sz="0" w:space="0" w:color="auto"/>
            <w:right w:val="none" w:sz="0" w:space="0" w:color="auto"/>
          </w:divBdr>
        </w:div>
        <w:div w:id="323780204">
          <w:marLeft w:val="1080"/>
          <w:marRight w:val="0"/>
          <w:marTop w:val="100"/>
          <w:marBottom w:val="0"/>
          <w:divBdr>
            <w:top w:val="none" w:sz="0" w:space="0" w:color="auto"/>
            <w:left w:val="none" w:sz="0" w:space="0" w:color="auto"/>
            <w:bottom w:val="none" w:sz="0" w:space="0" w:color="auto"/>
            <w:right w:val="none" w:sz="0" w:space="0" w:color="auto"/>
          </w:divBdr>
        </w:div>
        <w:div w:id="375129938">
          <w:marLeft w:val="1080"/>
          <w:marRight w:val="0"/>
          <w:marTop w:val="100"/>
          <w:marBottom w:val="0"/>
          <w:divBdr>
            <w:top w:val="none" w:sz="0" w:space="0" w:color="auto"/>
            <w:left w:val="none" w:sz="0" w:space="0" w:color="auto"/>
            <w:bottom w:val="none" w:sz="0" w:space="0" w:color="auto"/>
            <w:right w:val="none" w:sz="0" w:space="0" w:color="auto"/>
          </w:divBdr>
        </w:div>
        <w:div w:id="387268029">
          <w:marLeft w:val="1800"/>
          <w:marRight w:val="0"/>
          <w:marTop w:val="100"/>
          <w:marBottom w:val="0"/>
          <w:divBdr>
            <w:top w:val="none" w:sz="0" w:space="0" w:color="auto"/>
            <w:left w:val="none" w:sz="0" w:space="0" w:color="auto"/>
            <w:bottom w:val="none" w:sz="0" w:space="0" w:color="auto"/>
            <w:right w:val="none" w:sz="0" w:space="0" w:color="auto"/>
          </w:divBdr>
        </w:div>
        <w:div w:id="489562228">
          <w:marLeft w:val="1800"/>
          <w:marRight w:val="0"/>
          <w:marTop w:val="100"/>
          <w:marBottom w:val="0"/>
          <w:divBdr>
            <w:top w:val="none" w:sz="0" w:space="0" w:color="auto"/>
            <w:left w:val="none" w:sz="0" w:space="0" w:color="auto"/>
            <w:bottom w:val="none" w:sz="0" w:space="0" w:color="auto"/>
            <w:right w:val="none" w:sz="0" w:space="0" w:color="auto"/>
          </w:divBdr>
        </w:div>
        <w:div w:id="961303592">
          <w:marLeft w:val="1800"/>
          <w:marRight w:val="0"/>
          <w:marTop w:val="100"/>
          <w:marBottom w:val="0"/>
          <w:divBdr>
            <w:top w:val="none" w:sz="0" w:space="0" w:color="auto"/>
            <w:left w:val="none" w:sz="0" w:space="0" w:color="auto"/>
            <w:bottom w:val="none" w:sz="0" w:space="0" w:color="auto"/>
            <w:right w:val="none" w:sz="0" w:space="0" w:color="auto"/>
          </w:divBdr>
        </w:div>
        <w:div w:id="1418405030">
          <w:marLeft w:val="1800"/>
          <w:marRight w:val="0"/>
          <w:marTop w:val="100"/>
          <w:marBottom w:val="0"/>
          <w:divBdr>
            <w:top w:val="none" w:sz="0" w:space="0" w:color="auto"/>
            <w:left w:val="none" w:sz="0" w:space="0" w:color="auto"/>
            <w:bottom w:val="none" w:sz="0" w:space="0" w:color="auto"/>
            <w:right w:val="none" w:sz="0" w:space="0" w:color="auto"/>
          </w:divBdr>
        </w:div>
        <w:div w:id="1928269276">
          <w:marLeft w:val="1080"/>
          <w:marRight w:val="0"/>
          <w:marTop w:val="100"/>
          <w:marBottom w:val="0"/>
          <w:divBdr>
            <w:top w:val="none" w:sz="0" w:space="0" w:color="auto"/>
            <w:left w:val="none" w:sz="0" w:space="0" w:color="auto"/>
            <w:bottom w:val="none" w:sz="0" w:space="0" w:color="auto"/>
            <w:right w:val="none" w:sz="0" w:space="0" w:color="auto"/>
          </w:divBdr>
        </w:div>
        <w:div w:id="2145850852">
          <w:marLeft w:val="1800"/>
          <w:marRight w:val="0"/>
          <w:marTop w:val="100"/>
          <w:marBottom w:val="0"/>
          <w:divBdr>
            <w:top w:val="none" w:sz="0" w:space="0" w:color="auto"/>
            <w:left w:val="none" w:sz="0" w:space="0" w:color="auto"/>
            <w:bottom w:val="none" w:sz="0" w:space="0" w:color="auto"/>
            <w:right w:val="none" w:sz="0" w:space="0" w:color="auto"/>
          </w:divBdr>
        </w:div>
      </w:divsChild>
    </w:div>
    <w:div w:id="831601084">
      <w:bodyDiv w:val="1"/>
      <w:marLeft w:val="0"/>
      <w:marRight w:val="0"/>
      <w:marTop w:val="0"/>
      <w:marBottom w:val="0"/>
      <w:divBdr>
        <w:top w:val="none" w:sz="0" w:space="0" w:color="auto"/>
        <w:left w:val="none" w:sz="0" w:space="0" w:color="auto"/>
        <w:bottom w:val="none" w:sz="0" w:space="0" w:color="auto"/>
        <w:right w:val="none" w:sz="0" w:space="0" w:color="auto"/>
      </w:divBdr>
    </w:div>
    <w:div w:id="917716359">
      <w:bodyDiv w:val="1"/>
      <w:marLeft w:val="0"/>
      <w:marRight w:val="0"/>
      <w:marTop w:val="0"/>
      <w:marBottom w:val="0"/>
      <w:divBdr>
        <w:top w:val="none" w:sz="0" w:space="0" w:color="auto"/>
        <w:left w:val="none" w:sz="0" w:space="0" w:color="auto"/>
        <w:bottom w:val="none" w:sz="0" w:space="0" w:color="auto"/>
        <w:right w:val="none" w:sz="0" w:space="0" w:color="auto"/>
      </w:divBdr>
    </w:div>
    <w:div w:id="1005787448">
      <w:bodyDiv w:val="1"/>
      <w:marLeft w:val="0"/>
      <w:marRight w:val="0"/>
      <w:marTop w:val="0"/>
      <w:marBottom w:val="0"/>
      <w:divBdr>
        <w:top w:val="none" w:sz="0" w:space="0" w:color="auto"/>
        <w:left w:val="none" w:sz="0" w:space="0" w:color="auto"/>
        <w:bottom w:val="none" w:sz="0" w:space="0" w:color="auto"/>
        <w:right w:val="none" w:sz="0" w:space="0" w:color="auto"/>
      </w:divBdr>
    </w:div>
    <w:div w:id="1133596507">
      <w:bodyDiv w:val="1"/>
      <w:marLeft w:val="0"/>
      <w:marRight w:val="0"/>
      <w:marTop w:val="0"/>
      <w:marBottom w:val="0"/>
      <w:divBdr>
        <w:top w:val="none" w:sz="0" w:space="0" w:color="auto"/>
        <w:left w:val="none" w:sz="0" w:space="0" w:color="auto"/>
        <w:bottom w:val="none" w:sz="0" w:space="0" w:color="auto"/>
        <w:right w:val="none" w:sz="0" w:space="0" w:color="auto"/>
      </w:divBdr>
    </w:div>
    <w:div w:id="1242639189">
      <w:bodyDiv w:val="1"/>
      <w:marLeft w:val="0"/>
      <w:marRight w:val="0"/>
      <w:marTop w:val="0"/>
      <w:marBottom w:val="0"/>
      <w:divBdr>
        <w:top w:val="none" w:sz="0" w:space="0" w:color="auto"/>
        <w:left w:val="none" w:sz="0" w:space="0" w:color="auto"/>
        <w:bottom w:val="none" w:sz="0" w:space="0" w:color="auto"/>
        <w:right w:val="none" w:sz="0" w:space="0" w:color="auto"/>
      </w:divBdr>
    </w:div>
    <w:div w:id="1353268205">
      <w:bodyDiv w:val="1"/>
      <w:marLeft w:val="0"/>
      <w:marRight w:val="0"/>
      <w:marTop w:val="0"/>
      <w:marBottom w:val="0"/>
      <w:divBdr>
        <w:top w:val="none" w:sz="0" w:space="0" w:color="auto"/>
        <w:left w:val="none" w:sz="0" w:space="0" w:color="auto"/>
        <w:bottom w:val="none" w:sz="0" w:space="0" w:color="auto"/>
        <w:right w:val="none" w:sz="0" w:space="0" w:color="auto"/>
      </w:divBdr>
    </w:div>
    <w:div w:id="1529445482">
      <w:bodyDiv w:val="1"/>
      <w:marLeft w:val="0"/>
      <w:marRight w:val="0"/>
      <w:marTop w:val="0"/>
      <w:marBottom w:val="0"/>
      <w:divBdr>
        <w:top w:val="none" w:sz="0" w:space="0" w:color="auto"/>
        <w:left w:val="none" w:sz="0" w:space="0" w:color="auto"/>
        <w:bottom w:val="none" w:sz="0" w:space="0" w:color="auto"/>
        <w:right w:val="none" w:sz="0" w:space="0" w:color="auto"/>
      </w:divBdr>
      <w:divsChild>
        <w:div w:id="1269971021">
          <w:marLeft w:val="893"/>
          <w:marRight w:val="0"/>
          <w:marTop w:val="40"/>
          <w:marBottom w:val="80"/>
          <w:divBdr>
            <w:top w:val="none" w:sz="0" w:space="0" w:color="auto"/>
            <w:left w:val="none" w:sz="0" w:space="0" w:color="auto"/>
            <w:bottom w:val="none" w:sz="0" w:space="0" w:color="auto"/>
            <w:right w:val="none" w:sz="0" w:space="0" w:color="auto"/>
          </w:divBdr>
        </w:div>
        <w:div w:id="50353262">
          <w:marLeft w:val="1181"/>
          <w:marRight w:val="0"/>
          <w:marTop w:val="40"/>
          <w:marBottom w:val="80"/>
          <w:divBdr>
            <w:top w:val="none" w:sz="0" w:space="0" w:color="auto"/>
            <w:left w:val="none" w:sz="0" w:space="0" w:color="auto"/>
            <w:bottom w:val="none" w:sz="0" w:space="0" w:color="auto"/>
            <w:right w:val="none" w:sz="0" w:space="0" w:color="auto"/>
          </w:divBdr>
        </w:div>
        <w:div w:id="1097018025">
          <w:marLeft w:val="1181"/>
          <w:marRight w:val="0"/>
          <w:marTop w:val="40"/>
          <w:marBottom w:val="80"/>
          <w:divBdr>
            <w:top w:val="none" w:sz="0" w:space="0" w:color="auto"/>
            <w:left w:val="none" w:sz="0" w:space="0" w:color="auto"/>
            <w:bottom w:val="none" w:sz="0" w:space="0" w:color="auto"/>
            <w:right w:val="none" w:sz="0" w:space="0" w:color="auto"/>
          </w:divBdr>
        </w:div>
        <w:div w:id="139620056">
          <w:marLeft w:val="1181"/>
          <w:marRight w:val="0"/>
          <w:marTop w:val="40"/>
          <w:marBottom w:val="80"/>
          <w:divBdr>
            <w:top w:val="none" w:sz="0" w:space="0" w:color="auto"/>
            <w:left w:val="none" w:sz="0" w:space="0" w:color="auto"/>
            <w:bottom w:val="none" w:sz="0" w:space="0" w:color="auto"/>
            <w:right w:val="none" w:sz="0" w:space="0" w:color="auto"/>
          </w:divBdr>
        </w:div>
        <w:div w:id="251471176">
          <w:marLeft w:val="1181"/>
          <w:marRight w:val="0"/>
          <w:marTop w:val="40"/>
          <w:marBottom w:val="8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681346773">
      <w:bodyDiv w:val="1"/>
      <w:marLeft w:val="0"/>
      <w:marRight w:val="0"/>
      <w:marTop w:val="0"/>
      <w:marBottom w:val="0"/>
      <w:divBdr>
        <w:top w:val="none" w:sz="0" w:space="0" w:color="auto"/>
        <w:left w:val="none" w:sz="0" w:space="0" w:color="auto"/>
        <w:bottom w:val="none" w:sz="0" w:space="0" w:color="auto"/>
        <w:right w:val="none" w:sz="0" w:space="0" w:color="auto"/>
      </w:divBdr>
      <w:divsChild>
        <w:div w:id="1257783867">
          <w:marLeft w:val="144"/>
          <w:marRight w:val="0"/>
          <w:marTop w:val="240"/>
          <w:marBottom w:val="40"/>
          <w:divBdr>
            <w:top w:val="none" w:sz="0" w:space="0" w:color="auto"/>
            <w:left w:val="none" w:sz="0" w:space="0" w:color="auto"/>
            <w:bottom w:val="none" w:sz="0" w:space="0" w:color="auto"/>
            <w:right w:val="none" w:sz="0" w:space="0" w:color="auto"/>
          </w:divBdr>
        </w:div>
      </w:divsChild>
    </w:div>
    <w:div w:id="1722442171">
      <w:bodyDiv w:val="1"/>
      <w:marLeft w:val="0"/>
      <w:marRight w:val="0"/>
      <w:marTop w:val="0"/>
      <w:marBottom w:val="0"/>
      <w:divBdr>
        <w:top w:val="none" w:sz="0" w:space="0" w:color="auto"/>
        <w:left w:val="none" w:sz="0" w:space="0" w:color="auto"/>
        <w:bottom w:val="none" w:sz="0" w:space="0" w:color="auto"/>
        <w:right w:val="none" w:sz="0" w:space="0" w:color="auto"/>
      </w:divBdr>
    </w:div>
    <w:div w:id="1807040685">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2077051065">
      <w:bodyDiv w:val="1"/>
      <w:marLeft w:val="0"/>
      <w:marRight w:val="0"/>
      <w:marTop w:val="0"/>
      <w:marBottom w:val="0"/>
      <w:divBdr>
        <w:top w:val="none" w:sz="0" w:space="0" w:color="auto"/>
        <w:left w:val="none" w:sz="0" w:space="0" w:color="auto"/>
        <w:bottom w:val="none" w:sz="0" w:space="0" w:color="auto"/>
        <w:right w:val="none" w:sz="0" w:space="0" w:color="auto"/>
      </w:divBdr>
      <w:divsChild>
        <w:div w:id="1782143">
          <w:marLeft w:val="446"/>
          <w:marRight w:val="0"/>
          <w:marTop w:val="0"/>
          <w:marBottom w:val="0"/>
          <w:divBdr>
            <w:top w:val="none" w:sz="0" w:space="0" w:color="auto"/>
            <w:left w:val="none" w:sz="0" w:space="0" w:color="auto"/>
            <w:bottom w:val="none" w:sz="0" w:space="0" w:color="auto"/>
            <w:right w:val="none" w:sz="0" w:space="0" w:color="auto"/>
          </w:divBdr>
        </w:div>
        <w:div w:id="121073268">
          <w:marLeft w:val="446"/>
          <w:marRight w:val="0"/>
          <w:marTop w:val="0"/>
          <w:marBottom w:val="0"/>
          <w:divBdr>
            <w:top w:val="none" w:sz="0" w:space="0" w:color="auto"/>
            <w:left w:val="none" w:sz="0" w:space="0" w:color="auto"/>
            <w:bottom w:val="none" w:sz="0" w:space="0" w:color="auto"/>
            <w:right w:val="none" w:sz="0" w:space="0" w:color="auto"/>
          </w:divBdr>
        </w:div>
        <w:div w:id="360596378">
          <w:marLeft w:val="446"/>
          <w:marRight w:val="0"/>
          <w:marTop w:val="0"/>
          <w:marBottom w:val="0"/>
          <w:divBdr>
            <w:top w:val="none" w:sz="0" w:space="0" w:color="auto"/>
            <w:left w:val="none" w:sz="0" w:space="0" w:color="auto"/>
            <w:bottom w:val="none" w:sz="0" w:space="0" w:color="auto"/>
            <w:right w:val="none" w:sz="0" w:space="0" w:color="auto"/>
          </w:divBdr>
        </w:div>
        <w:div w:id="843982784">
          <w:marLeft w:val="446"/>
          <w:marRight w:val="0"/>
          <w:marTop w:val="0"/>
          <w:marBottom w:val="0"/>
          <w:divBdr>
            <w:top w:val="none" w:sz="0" w:space="0" w:color="auto"/>
            <w:left w:val="none" w:sz="0" w:space="0" w:color="auto"/>
            <w:bottom w:val="none" w:sz="0" w:space="0" w:color="auto"/>
            <w:right w:val="none" w:sz="0" w:space="0" w:color="auto"/>
          </w:divBdr>
        </w:div>
        <w:div w:id="1085111684">
          <w:marLeft w:val="446"/>
          <w:marRight w:val="0"/>
          <w:marTop w:val="0"/>
          <w:marBottom w:val="0"/>
          <w:divBdr>
            <w:top w:val="none" w:sz="0" w:space="0" w:color="auto"/>
            <w:left w:val="none" w:sz="0" w:space="0" w:color="auto"/>
            <w:bottom w:val="none" w:sz="0" w:space="0" w:color="auto"/>
            <w:right w:val="none" w:sz="0" w:space="0" w:color="auto"/>
          </w:divBdr>
        </w:div>
        <w:div w:id="1416199085">
          <w:marLeft w:val="446"/>
          <w:marRight w:val="0"/>
          <w:marTop w:val="0"/>
          <w:marBottom w:val="0"/>
          <w:divBdr>
            <w:top w:val="none" w:sz="0" w:space="0" w:color="auto"/>
            <w:left w:val="none" w:sz="0" w:space="0" w:color="auto"/>
            <w:bottom w:val="none" w:sz="0" w:space="0" w:color="auto"/>
            <w:right w:val="none" w:sz="0" w:space="0" w:color="auto"/>
          </w:divBdr>
        </w:div>
        <w:div w:id="1435976024">
          <w:marLeft w:val="446"/>
          <w:marRight w:val="0"/>
          <w:marTop w:val="0"/>
          <w:marBottom w:val="0"/>
          <w:divBdr>
            <w:top w:val="none" w:sz="0" w:space="0" w:color="auto"/>
            <w:left w:val="none" w:sz="0" w:space="0" w:color="auto"/>
            <w:bottom w:val="none" w:sz="0" w:space="0" w:color="auto"/>
            <w:right w:val="none" w:sz="0" w:space="0" w:color="auto"/>
          </w:divBdr>
        </w:div>
        <w:div w:id="1441532318">
          <w:marLeft w:val="446"/>
          <w:marRight w:val="0"/>
          <w:marTop w:val="0"/>
          <w:marBottom w:val="0"/>
          <w:divBdr>
            <w:top w:val="none" w:sz="0" w:space="0" w:color="auto"/>
            <w:left w:val="none" w:sz="0" w:space="0" w:color="auto"/>
            <w:bottom w:val="none" w:sz="0" w:space="0" w:color="auto"/>
            <w:right w:val="none" w:sz="0" w:space="0" w:color="auto"/>
          </w:divBdr>
        </w:div>
        <w:div w:id="1722483166">
          <w:marLeft w:val="446"/>
          <w:marRight w:val="0"/>
          <w:marTop w:val="0"/>
          <w:marBottom w:val="0"/>
          <w:divBdr>
            <w:top w:val="none" w:sz="0" w:space="0" w:color="auto"/>
            <w:left w:val="none" w:sz="0" w:space="0" w:color="auto"/>
            <w:bottom w:val="none" w:sz="0" w:space="0" w:color="auto"/>
            <w:right w:val="none" w:sz="0" w:space="0" w:color="auto"/>
          </w:divBdr>
        </w:div>
        <w:div w:id="1894847537">
          <w:marLeft w:val="446"/>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AF6983-E916-426A-8F18-5D927EADB8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CDCEF-261B-4329-801C-55A8B958E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1567</Words>
  <Characters>8934</Characters>
  <Application>Microsoft Office Word</Application>
  <DocSecurity>0</DocSecurity>
  <Lines>74</Lines>
  <Paragraphs>20</Paragraphs>
  <ScaleCrop>false</ScaleCrop>
  <Manager/>
  <Company>Xiaomi</Company>
  <LinksUpToDate>false</LinksUpToDate>
  <CharactersWithSpaces>10481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Xiaomi-Xiongyi</cp:lastModifiedBy>
  <cp:revision>11</cp:revision>
  <cp:lastPrinted>2013-09-18T09:52:00Z</cp:lastPrinted>
  <dcterms:created xsi:type="dcterms:W3CDTF">2021-03-31T06:13:00Z</dcterms:created>
  <dcterms:modified xsi:type="dcterms:W3CDTF">2021-04-02T03:03:00Z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6dfbf0859bd4f47862585a074e141be">
    <vt:lpwstr>CWMVd33ApqOTXmaHsqRvusEnU7GyTYExJpV27agHEltgivIFTYsqCBJ+y5zkHmJzApXCwwbrZP4lbsp77r0Y9rSjg==</vt:lpwstr>
  </property>
</Properties>
</file>